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233" w:rsidRDefault="00C80233"/>
    <w:p w:rsidR="000A7AFB" w:rsidRDefault="000A7AFB"/>
    <w:p w:rsidR="00155D6C" w:rsidRDefault="00155D6C"/>
    <w:p w:rsidR="00155D6C" w:rsidRPr="00155D6C" w:rsidRDefault="00155D6C" w:rsidP="00155D6C">
      <w:pPr>
        <w:jc w:val="center"/>
        <w:rPr>
          <w:b/>
          <w:sz w:val="24"/>
        </w:rPr>
      </w:pPr>
      <w:r w:rsidRPr="00155D6C">
        <w:rPr>
          <w:b/>
          <w:sz w:val="24"/>
        </w:rPr>
        <w:t>Textteil</w:t>
      </w:r>
    </w:p>
    <w:p w:rsidR="00155D6C" w:rsidRPr="00155D6C" w:rsidRDefault="00155D6C" w:rsidP="00155D6C">
      <w:pPr>
        <w:jc w:val="center"/>
        <w:rPr>
          <w:b/>
          <w:sz w:val="24"/>
        </w:rPr>
      </w:pPr>
      <w:r w:rsidRPr="00155D6C">
        <w:rPr>
          <w:b/>
          <w:sz w:val="24"/>
        </w:rPr>
        <w:t>zum Bebauungsplan nach § 13</w:t>
      </w:r>
      <w:r w:rsidR="00037029">
        <w:rPr>
          <w:b/>
          <w:sz w:val="24"/>
        </w:rPr>
        <w:t>a</w:t>
      </w:r>
      <w:r w:rsidRPr="00155D6C">
        <w:rPr>
          <w:b/>
          <w:sz w:val="24"/>
        </w:rPr>
        <w:t xml:space="preserve"> BauGB und</w:t>
      </w:r>
    </w:p>
    <w:p w:rsidR="00155D6C" w:rsidRPr="00155D6C" w:rsidRDefault="00155D6C" w:rsidP="00155D6C">
      <w:pPr>
        <w:jc w:val="center"/>
        <w:rPr>
          <w:b/>
          <w:sz w:val="24"/>
        </w:rPr>
      </w:pPr>
      <w:r w:rsidRPr="00155D6C">
        <w:rPr>
          <w:b/>
          <w:sz w:val="24"/>
        </w:rPr>
        <w:t>zur örtlichen Bauvorschrift</w:t>
      </w:r>
    </w:p>
    <w:p w:rsidR="00155D6C" w:rsidRPr="00155D6C" w:rsidRDefault="00155D6C" w:rsidP="00155D6C">
      <w:pPr>
        <w:jc w:val="center"/>
        <w:rPr>
          <w:b/>
          <w:sz w:val="24"/>
        </w:rPr>
      </w:pPr>
      <w:r w:rsidRPr="00155D6C">
        <w:rPr>
          <w:b/>
          <w:sz w:val="24"/>
        </w:rPr>
        <w:t>„</w:t>
      </w:r>
      <w:r w:rsidR="00B23F65">
        <w:rPr>
          <w:b/>
          <w:sz w:val="24"/>
        </w:rPr>
        <w:t>Steig II</w:t>
      </w:r>
      <w:r w:rsidRPr="00155D6C">
        <w:rPr>
          <w:b/>
          <w:sz w:val="24"/>
        </w:rPr>
        <w:t>“</w:t>
      </w:r>
    </w:p>
    <w:p w:rsidR="00155D6C" w:rsidRDefault="00B23F65" w:rsidP="00155D6C">
      <w:pPr>
        <w:jc w:val="center"/>
        <w:rPr>
          <w:b/>
          <w:sz w:val="24"/>
        </w:rPr>
      </w:pPr>
      <w:r>
        <w:rPr>
          <w:b/>
          <w:sz w:val="24"/>
        </w:rPr>
        <w:t>Gemeinde Weidenstetten</w:t>
      </w:r>
    </w:p>
    <w:p w:rsidR="00B81BCF" w:rsidRDefault="00E66E14" w:rsidP="00B81BCF">
      <w:pPr>
        <w:rPr>
          <w:b/>
          <w:sz w:val="24"/>
        </w:rPr>
      </w:pPr>
      <w:r>
        <w:rPr>
          <w:b/>
          <w:sz w:val="24"/>
        </w:rPr>
        <w:t>Y&lt;</w:t>
      </w:r>
      <w:bookmarkStart w:id="0" w:name="_GoBack"/>
      <w:bookmarkEnd w:id="0"/>
    </w:p>
    <w:p w:rsidR="00B81BCF" w:rsidRDefault="00B81BCF" w:rsidP="00B81BCF">
      <w:pPr>
        <w:rPr>
          <w:b/>
          <w:sz w:val="24"/>
        </w:rPr>
      </w:pPr>
    </w:p>
    <w:p w:rsidR="00B81BCF" w:rsidRDefault="00B81BCF" w:rsidP="00B81BCF">
      <w:pPr>
        <w:rPr>
          <w:b/>
          <w:sz w:val="24"/>
        </w:rPr>
      </w:pPr>
    </w:p>
    <w:p w:rsidR="00B81BCF" w:rsidRPr="004C0DE3" w:rsidRDefault="00B81BCF" w:rsidP="00B81BCF">
      <w:pPr>
        <w:rPr>
          <w:b/>
          <w:szCs w:val="22"/>
        </w:rPr>
      </w:pPr>
    </w:p>
    <w:p w:rsidR="00B81BCF" w:rsidRPr="004C0DE3" w:rsidRDefault="00B81BCF" w:rsidP="00B81BCF">
      <w:pPr>
        <w:rPr>
          <w:szCs w:val="22"/>
        </w:rPr>
      </w:pPr>
      <w:r w:rsidRPr="004C0DE3">
        <w:rPr>
          <w:szCs w:val="22"/>
        </w:rPr>
        <w:t xml:space="preserve">Es gelten: </w:t>
      </w:r>
    </w:p>
    <w:p w:rsidR="00B81BCF" w:rsidRPr="004C0DE3" w:rsidRDefault="00B81BCF" w:rsidP="00B81BCF">
      <w:pPr>
        <w:rPr>
          <w:szCs w:val="22"/>
        </w:rPr>
      </w:pPr>
    </w:p>
    <w:p w:rsidR="00B81BCF" w:rsidRPr="004C0DE3" w:rsidRDefault="00B81BCF" w:rsidP="00B81BCF">
      <w:pPr>
        <w:ind w:left="4245" w:hanging="4245"/>
        <w:rPr>
          <w:szCs w:val="22"/>
        </w:rPr>
      </w:pPr>
      <w:r w:rsidRPr="004C0DE3">
        <w:rPr>
          <w:szCs w:val="22"/>
        </w:rPr>
        <w:t>Baugesetzbuch (BauGB)</w:t>
      </w:r>
      <w:r w:rsidRPr="004C0DE3">
        <w:rPr>
          <w:szCs w:val="22"/>
        </w:rPr>
        <w:tab/>
      </w:r>
      <w:r w:rsidRPr="004C0DE3">
        <w:rPr>
          <w:szCs w:val="22"/>
        </w:rPr>
        <w:tab/>
        <w:t xml:space="preserve">i.d.F. vom 23.09.2004 (BGBl. I S. 2414) zuletzt </w:t>
      </w:r>
      <w:r w:rsidRPr="004C0DE3">
        <w:rPr>
          <w:szCs w:val="22"/>
        </w:rPr>
        <w:br/>
        <w:t>geändert am 03.11.2017 (BGBl. I S. 3634)</w:t>
      </w:r>
    </w:p>
    <w:p w:rsidR="00B81BCF" w:rsidRPr="004C0DE3" w:rsidRDefault="00B81BCF" w:rsidP="00B81BCF">
      <w:pPr>
        <w:ind w:left="4245" w:hanging="4245"/>
        <w:rPr>
          <w:szCs w:val="22"/>
        </w:rPr>
      </w:pPr>
      <w:r w:rsidRPr="004C0DE3">
        <w:rPr>
          <w:szCs w:val="22"/>
        </w:rPr>
        <w:t>Baunutzungsverordnung (</w:t>
      </w:r>
      <w:proofErr w:type="gramStart"/>
      <w:r w:rsidRPr="004C0DE3">
        <w:rPr>
          <w:szCs w:val="22"/>
        </w:rPr>
        <w:t xml:space="preserve">BauNVO)  </w:t>
      </w:r>
      <w:r w:rsidRPr="004C0DE3">
        <w:rPr>
          <w:szCs w:val="22"/>
        </w:rPr>
        <w:tab/>
      </w:r>
      <w:proofErr w:type="gramEnd"/>
      <w:r w:rsidRPr="004C0DE3">
        <w:rPr>
          <w:szCs w:val="22"/>
        </w:rPr>
        <w:tab/>
        <w:t>Neufassung vom 23.01.1990 (BGBl. I S. 132), zuletzt geändert am 21.11.2017 BGBl. I S. 3786)</w:t>
      </w:r>
    </w:p>
    <w:p w:rsidR="00B81BCF" w:rsidRPr="004C0DE3" w:rsidRDefault="00B81BCF" w:rsidP="00B81BCF">
      <w:pPr>
        <w:pStyle w:val="Textkrper-Zeileneinzug"/>
        <w:ind w:left="0"/>
        <w:rPr>
          <w:szCs w:val="22"/>
        </w:rPr>
      </w:pPr>
      <w:r w:rsidRPr="004C0DE3">
        <w:rPr>
          <w:szCs w:val="22"/>
        </w:rPr>
        <w:t>Planzeichenverordnung (PlanzV 90)</w:t>
      </w:r>
      <w:r w:rsidRPr="004C0DE3">
        <w:rPr>
          <w:szCs w:val="22"/>
        </w:rPr>
        <w:tab/>
      </w:r>
      <w:r w:rsidRPr="004C0DE3">
        <w:rPr>
          <w:szCs w:val="22"/>
        </w:rPr>
        <w:tab/>
        <w:t xml:space="preserve">in der Fassung vom 18.12.1990 und Anlage </w:t>
      </w:r>
      <w:r w:rsidRPr="004C0DE3">
        <w:rPr>
          <w:szCs w:val="22"/>
        </w:rPr>
        <w:br/>
        <w:t xml:space="preserve">  </w:t>
      </w:r>
      <w:r w:rsidRPr="004C0DE3">
        <w:rPr>
          <w:szCs w:val="22"/>
        </w:rPr>
        <w:tab/>
      </w:r>
      <w:r w:rsidRPr="004C0DE3">
        <w:rPr>
          <w:szCs w:val="22"/>
        </w:rPr>
        <w:tab/>
      </w:r>
      <w:r w:rsidRPr="004C0DE3">
        <w:rPr>
          <w:szCs w:val="22"/>
        </w:rPr>
        <w:tab/>
      </w:r>
      <w:r w:rsidRPr="004C0DE3">
        <w:rPr>
          <w:szCs w:val="22"/>
        </w:rPr>
        <w:tab/>
      </w:r>
      <w:r w:rsidRPr="004C0DE3">
        <w:rPr>
          <w:szCs w:val="22"/>
        </w:rPr>
        <w:tab/>
      </w:r>
      <w:r w:rsidRPr="004C0DE3">
        <w:rPr>
          <w:szCs w:val="22"/>
        </w:rPr>
        <w:tab/>
        <w:t xml:space="preserve">(BGBl. </w:t>
      </w:r>
      <w:proofErr w:type="gramStart"/>
      <w:r w:rsidRPr="004C0DE3">
        <w:rPr>
          <w:szCs w:val="22"/>
        </w:rPr>
        <w:t>I  1991</w:t>
      </w:r>
      <w:proofErr w:type="gramEnd"/>
      <w:r w:rsidRPr="004C0DE3">
        <w:rPr>
          <w:szCs w:val="22"/>
        </w:rPr>
        <w:t xml:space="preserve"> S. 58), zuletzt geändert am   </w:t>
      </w:r>
      <w:r w:rsidRPr="004C0DE3">
        <w:rPr>
          <w:szCs w:val="22"/>
        </w:rPr>
        <w:br/>
        <w:t xml:space="preserve">  </w:t>
      </w:r>
      <w:r w:rsidRPr="004C0DE3">
        <w:rPr>
          <w:szCs w:val="22"/>
        </w:rPr>
        <w:tab/>
      </w:r>
      <w:r w:rsidRPr="004C0DE3">
        <w:rPr>
          <w:szCs w:val="22"/>
        </w:rPr>
        <w:tab/>
      </w:r>
      <w:r w:rsidRPr="004C0DE3">
        <w:rPr>
          <w:szCs w:val="22"/>
        </w:rPr>
        <w:tab/>
      </w:r>
      <w:r w:rsidRPr="004C0DE3">
        <w:rPr>
          <w:szCs w:val="22"/>
        </w:rPr>
        <w:tab/>
      </w:r>
      <w:r w:rsidRPr="004C0DE3">
        <w:rPr>
          <w:szCs w:val="22"/>
        </w:rPr>
        <w:tab/>
      </w:r>
      <w:r w:rsidRPr="004C0DE3">
        <w:rPr>
          <w:szCs w:val="22"/>
        </w:rPr>
        <w:tab/>
        <w:t>04.05.2017 (BGBl. I S. 1057)</w:t>
      </w:r>
    </w:p>
    <w:p w:rsidR="00B81BCF" w:rsidRDefault="00B81BCF" w:rsidP="00B81BCF">
      <w:pPr>
        <w:rPr>
          <w:b/>
          <w:bCs/>
          <w:sz w:val="24"/>
        </w:rPr>
      </w:pPr>
    </w:p>
    <w:p w:rsidR="00B81BCF" w:rsidRPr="004C0DE3" w:rsidRDefault="009348D1" w:rsidP="00B81BCF">
      <w:pPr>
        <w:pStyle w:val="berschrift1"/>
        <w:rPr>
          <w:rFonts w:cs="Arial"/>
          <w:b w:val="0"/>
          <w:sz w:val="22"/>
          <w:szCs w:val="22"/>
        </w:rPr>
      </w:pPr>
      <w:r w:rsidRPr="004C0DE3">
        <w:rPr>
          <w:rFonts w:cs="Arial"/>
          <w:b w:val="0"/>
          <w:sz w:val="22"/>
          <w:szCs w:val="22"/>
        </w:rPr>
        <w:t>In Ergänzung der Planzeichen und gemäß § 9 BauGB i.V. mit der BauNVO wird in dem schwarz umrandeten Gebiet festgesetzt:</w:t>
      </w:r>
    </w:p>
    <w:p w:rsidR="00B81BCF" w:rsidRPr="004C0DE3" w:rsidRDefault="00B81BCF" w:rsidP="00B81BCF">
      <w:pPr>
        <w:rPr>
          <w:rFonts w:cs="Arial"/>
          <w:szCs w:val="22"/>
        </w:rPr>
      </w:pPr>
    </w:p>
    <w:p w:rsidR="00B81BCF" w:rsidRPr="004C0DE3" w:rsidRDefault="00B81BCF" w:rsidP="00B81BCF">
      <w:pPr>
        <w:rPr>
          <w:rFonts w:cs="Arial"/>
          <w:szCs w:val="22"/>
        </w:rPr>
      </w:pPr>
    </w:p>
    <w:p w:rsidR="00B81BCF" w:rsidRPr="004C0DE3" w:rsidRDefault="00B81BCF" w:rsidP="00B81BCF">
      <w:pPr>
        <w:numPr>
          <w:ilvl w:val="0"/>
          <w:numId w:val="1"/>
        </w:numPr>
        <w:rPr>
          <w:rFonts w:cs="Arial"/>
          <w:b/>
          <w:bCs/>
          <w:szCs w:val="22"/>
        </w:rPr>
      </w:pPr>
      <w:r w:rsidRPr="004C0DE3">
        <w:rPr>
          <w:rFonts w:cs="Arial"/>
          <w:b/>
          <w:bCs/>
          <w:szCs w:val="22"/>
        </w:rPr>
        <w:t>Planungsrechtliche Festsetzungen (§ 9 Abs. 1</w:t>
      </w:r>
      <w:r w:rsidR="00755A9A" w:rsidRPr="004C0DE3">
        <w:rPr>
          <w:rFonts w:cs="Arial"/>
          <w:b/>
          <w:bCs/>
          <w:szCs w:val="22"/>
        </w:rPr>
        <w:t xml:space="preserve"> und 3</w:t>
      </w:r>
      <w:r w:rsidRPr="004C0DE3">
        <w:rPr>
          <w:rFonts w:cs="Arial"/>
          <w:b/>
          <w:bCs/>
          <w:szCs w:val="22"/>
        </w:rPr>
        <w:t xml:space="preserve"> BauGB + BauNVO)</w:t>
      </w:r>
    </w:p>
    <w:p w:rsidR="00B81BCF" w:rsidRPr="004C0DE3" w:rsidRDefault="00B81BCF" w:rsidP="00B81BCF">
      <w:pPr>
        <w:rPr>
          <w:rFonts w:cs="Arial"/>
          <w:szCs w:val="22"/>
        </w:rPr>
      </w:pPr>
    </w:p>
    <w:p w:rsidR="00A85685" w:rsidRPr="004C0DE3" w:rsidRDefault="00B81BCF" w:rsidP="00B81BCF">
      <w:pPr>
        <w:numPr>
          <w:ilvl w:val="0"/>
          <w:numId w:val="2"/>
        </w:numPr>
        <w:rPr>
          <w:rFonts w:cs="Arial"/>
          <w:b/>
          <w:szCs w:val="22"/>
        </w:rPr>
      </w:pPr>
      <w:r w:rsidRPr="004C0DE3">
        <w:rPr>
          <w:rFonts w:cs="Arial"/>
          <w:b/>
          <w:szCs w:val="22"/>
        </w:rPr>
        <w:t>Art der baulichen Nutzung (§§ 1 – 15 BauNVO)</w:t>
      </w:r>
      <w:r w:rsidRPr="004C0DE3">
        <w:rPr>
          <w:rFonts w:cs="Arial"/>
          <w:b/>
          <w:szCs w:val="22"/>
        </w:rPr>
        <w:br/>
      </w:r>
      <w:r w:rsidRPr="004C0DE3">
        <w:rPr>
          <w:rFonts w:cs="Arial"/>
          <w:szCs w:val="22"/>
        </w:rPr>
        <w:t>WA-Allgemeines Wohngebiet (§ 4</w:t>
      </w:r>
      <w:r w:rsidR="00F51099" w:rsidRPr="004C0DE3">
        <w:rPr>
          <w:rFonts w:cs="Arial"/>
          <w:szCs w:val="22"/>
        </w:rPr>
        <w:t xml:space="preserve"> </w:t>
      </w:r>
      <w:r w:rsidRPr="004C0DE3">
        <w:rPr>
          <w:rFonts w:cs="Arial"/>
          <w:szCs w:val="22"/>
        </w:rPr>
        <w:t xml:space="preserve">BauNVO) </w:t>
      </w:r>
    </w:p>
    <w:p w:rsidR="00A85685" w:rsidRPr="004C0DE3" w:rsidRDefault="00A85685" w:rsidP="00A85685">
      <w:pPr>
        <w:ind w:left="567"/>
        <w:rPr>
          <w:rFonts w:cs="Arial"/>
          <w:szCs w:val="22"/>
        </w:rPr>
      </w:pPr>
    </w:p>
    <w:p w:rsidR="00111E80" w:rsidRPr="004C0DE3" w:rsidRDefault="00B81BCF" w:rsidP="00111E80">
      <w:pPr>
        <w:ind w:left="567"/>
        <w:rPr>
          <w:rFonts w:cs="Arial"/>
          <w:b/>
          <w:szCs w:val="22"/>
        </w:rPr>
      </w:pPr>
      <w:r w:rsidRPr="004C0DE3">
        <w:rPr>
          <w:rFonts w:cs="Arial"/>
          <w:szCs w:val="22"/>
        </w:rPr>
        <w:t>Ausnahmen entsprechend § 4 Abs. 3 Nrn. 1,3,4 und 5 BauNVO werden nicht zugelas</w:t>
      </w:r>
      <w:r w:rsidR="00023C3F" w:rsidRPr="004C0DE3">
        <w:rPr>
          <w:rFonts w:cs="Arial"/>
          <w:szCs w:val="22"/>
        </w:rPr>
        <w:t>sen</w:t>
      </w:r>
      <w:r w:rsidRPr="004C0DE3">
        <w:rPr>
          <w:rFonts w:cs="Arial"/>
          <w:szCs w:val="22"/>
        </w:rPr>
        <w:t xml:space="preserve"> (Beherbergungsbetriebe, Verwaltungen, Gartenbaubetriebe, Tankstellen)</w:t>
      </w:r>
      <w:r w:rsidR="00023C3F" w:rsidRPr="004C0DE3">
        <w:rPr>
          <w:rFonts w:cs="Arial"/>
          <w:szCs w:val="22"/>
        </w:rPr>
        <w:t>.</w:t>
      </w:r>
      <w:r w:rsidR="00111E80" w:rsidRPr="004C0DE3">
        <w:rPr>
          <w:rFonts w:cs="Arial"/>
          <w:b/>
          <w:szCs w:val="22"/>
        </w:rPr>
        <w:br/>
      </w:r>
    </w:p>
    <w:p w:rsidR="00B81BCF" w:rsidRPr="004C0DE3" w:rsidRDefault="00B81BCF" w:rsidP="00111E80">
      <w:pPr>
        <w:pStyle w:val="Listenabsatz"/>
        <w:numPr>
          <w:ilvl w:val="0"/>
          <w:numId w:val="2"/>
        </w:numPr>
        <w:rPr>
          <w:rFonts w:cs="Arial"/>
          <w:b/>
          <w:szCs w:val="22"/>
        </w:rPr>
      </w:pPr>
      <w:r w:rsidRPr="004C0DE3">
        <w:rPr>
          <w:rFonts w:cs="Arial"/>
          <w:b/>
          <w:szCs w:val="22"/>
        </w:rPr>
        <w:t>Maß der baulichen Nutzung</w:t>
      </w:r>
      <w:r w:rsidRPr="004C0DE3">
        <w:rPr>
          <w:rFonts w:cs="Arial"/>
          <w:szCs w:val="22"/>
        </w:rPr>
        <w:t xml:space="preserve"> </w:t>
      </w:r>
      <w:r w:rsidRPr="004C0DE3">
        <w:rPr>
          <w:rFonts w:cs="Arial"/>
          <w:szCs w:val="22"/>
        </w:rPr>
        <w:tab/>
      </w:r>
      <w:r w:rsidRPr="004C0DE3">
        <w:rPr>
          <w:rFonts w:cs="Arial"/>
          <w:szCs w:val="22"/>
        </w:rPr>
        <w:tab/>
        <w:t>Baugebiet</w:t>
      </w:r>
      <w:r w:rsidRPr="004C0DE3">
        <w:rPr>
          <w:rFonts w:cs="Arial"/>
          <w:szCs w:val="22"/>
        </w:rPr>
        <w:tab/>
        <w:t>GRZ</w:t>
      </w:r>
      <w:r w:rsidRPr="004C0DE3">
        <w:rPr>
          <w:rFonts w:cs="Arial"/>
          <w:szCs w:val="22"/>
        </w:rPr>
        <w:tab/>
        <w:t>Z</w:t>
      </w:r>
      <w:r w:rsidRPr="004C0DE3">
        <w:rPr>
          <w:rFonts w:cs="Arial"/>
          <w:szCs w:val="22"/>
        </w:rPr>
        <w:br/>
        <w:t>(§§ 16 – 21 a BauNVO)</w:t>
      </w:r>
      <w:r w:rsidRPr="004C0DE3">
        <w:rPr>
          <w:rFonts w:cs="Arial"/>
          <w:szCs w:val="22"/>
        </w:rPr>
        <w:tab/>
      </w:r>
      <w:r w:rsidRPr="004C0DE3">
        <w:rPr>
          <w:rFonts w:cs="Arial"/>
          <w:szCs w:val="22"/>
        </w:rPr>
        <w:tab/>
        <w:t>WA</w:t>
      </w:r>
      <w:r w:rsidRPr="004C0DE3">
        <w:rPr>
          <w:rFonts w:cs="Arial"/>
          <w:szCs w:val="22"/>
        </w:rPr>
        <w:tab/>
      </w:r>
      <w:r w:rsidR="00B23F65" w:rsidRPr="004C0DE3">
        <w:rPr>
          <w:rFonts w:cs="Arial"/>
          <w:szCs w:val="22"/>
        </w:rPr>
        <w:t>1</w:t>
      </w:r>
      <w:r w:rsidRPr="004C0DE3">
        <w:rPr>
          <w:rFonts w:cs="Arial"/>
          <w:szCs w:val="22"/>
        </w:rPr>
        <w:tab/>
        <w:t>0,4</w:t>
      </w:r>
      <w:r w:rsidRPr="004C0DE3">
        <w:rPr>
          <w:rFonts w:cs="Arial"/>
          <w:szCs w:val="22"/>
        </w:rPr>
        <w:tab/>
        <w:t>II</w:t>
      </w:r>
      <w:r w:rsidR="00B23F65" w:rsidRPr="004C0DE3">
        <w:rPr>
          <w:rFonts w:cs="Arial"/>
          <w:szCs w:val="22"/>
        </w:rPr>
        <w:br/>
        <w:t xml:space="preserve">         </w:t>
      </w:r>
      <w:r w:rsidR="00401A98" w:rsidRPr="004C0DE3">
        <w:rPr>
          <w:rFonts w:cs="Arial"/>
          <w:szCs w:val="22"/>
        </w:rPr>
        <w:t xml:space="preserve">                  </w:t>
      </w:r>
      <w:r w:rsidR="00401A98" w:rsidRPr="004C0DE3">
        <w:rPr>
          <w:rFonts w:cs="Arial"/>
          <w:szCs w:val="22"/>
        </w:rPr>
        <w:tab/>
      </w:r>
      <w:r w:rsidR="00401A98" w:rsidRPr="004C0DE3">
        <w:rPr>
          <w:rFonts w:cs="Arial"/>
          <w:szCs w:val="22"/>
        </w:rPr>
        <w:tab/>
      </w:r>
      <w:r w:rsidR="00401A98" w:rsidRPr="004C0DE3">
        <w:rPr>
          <w:rFonts w:cs="Arial"/>
          <w:szCs w:val="22"/>
        </w:rPr>
        <w:tab/>
        <w:t xml:space="preserve">WA   </w:t>
      </w:r>
      <w:r w:rsidR="00401A98" w:rsidRPr="004C0DE3">
        <w:rPr>
          <w:rFonts w:cs="Arial"/>
          <w:szCs w:val="22"/>
        </w:rPr>
        <w:tab/>
        <w:t>2</w:t>
      </w:r>
      <w:r w:rsidR="00401A98" w:rsidRPr="004C0DE3">
        <w:rPr>
          <w:rFonts w:cs="Arial"/>
          <w:szCs w:val="22"/>
        </w:rPr>
        <w:tab/>
        <w:t>0,5</w:t>
      </w:r>
      <w:r w:rsidR="00B23F65" w:rsidRPr="004C0DE3">
        <w:rPr>
          <w:rFonts w:cs="Arial"/>
          <w:szCs w:val="22"/>
        </w:rPr>
        <w:tab/>
        <w:t>II</w:t>
      </w:r>
      <w:r w:rsidRPr="004C0DE3">
        <w:rPr>
          <w:rFonts w:cs="Arial"/>
          <w:szCs w:val="22"/>
        </w:rPr>
        <w:br/>
      </w:r>
    </w:p>
    <w:p w:rsidR="00B81BCF" w:rsidRPr="004C0DE3" w:rsidRDefault="00B81BCF" w:rsidP="00B81BCF">
      <w:pPr>
        <w:pStyle w:val="Listenabsatz"/>
        <w:numPr>
          <w:ilvl w:val="0"/>
          <w:numId w:val="2"/>
        </w:numPr>
        <w:rPr>
          <w:rFonts w:cs="Arial"/>
          <w:szCs w:val="22"/>
        </w:rPr>
      </w:pPr>
      <w:r w:rsidRPr="004C0DE3">
        <w:rPr>
          <w:rFonts w:cs="Arial"/>
          <w:b/>
          <w:szCs w:val="22"/>
        </w:rPr>
        <w:t>Höhenlage</w:t>
      </w:r>
      <w:r w:rsidRPr="004C0DE3">
        <w:rPr>
          <w:rFonts w:cs="Arial"/>
          <w:szCs w:val="22"/>
        </w:rPr>
        <w:t xml:space="preserve"> (§ 9 Abs. 3 BauGB)</w:t>
      </w:r>
    </w:p>
    <w:p w:rsidR="00B81BCF" w:rsidRPr="004C0DE3" w:rsidRDefault="00B81BCF" w:rsidP="00B81BCF">
      <w:pPr>
        <w:ind w:left="567"/>
        <w:rPr>
          <w:rFonts w:cs="Arial"/>
          <w:szCs w:val="22"/>
        </w:rPr>
      </w:pPr>
      <w:r w:rsidRPr="004C0DE3">
        <w:rPr>
          <w:rFonts w:cs="Arial"/>
          <w:szCs w:val="22"/>
        </w:rPr>
        <w:t>Die Erdgeschossrohfußbodenhöhe (Roh-EFH) darf max. 30 cm über der höchstgelegenen an das Grun</w:t>
      </w:r>
      <w:r w:rsidR="00A85685" w:rsidRPr="004C0DE3">
        <w:rPr>
          <w:rFonts w:cs="Arial"/>
          <w:szCs w:val="22"/>
        </w:rPr>
        <w:t xml:space="preserve">dstück angrenzenden </w:t>
      </w:r>
      <w:r w:rsidR="00BA206A" w:rsidRPr="004C0DE3">
        <w:rPr>
          <w:rFonts w:cs="Arial"/>
          <w:szCs w:val="22"/>
        </w:rPr>
        <w:t>öffentlichen</w:t>
      </w:r>
      <w:r w:rsidRPr="004C0DE3">
        <w:rPr>
          <w:rFonts w:cs="Arial"/>
          <w:szCs w:val="22"/>
        </w:rPr>
        <w:t xml:space="preserve"> Verkehrsfläche liegen. </w:t>
      </w:r>
    </w:p>
    <w:p w:rsidR="00B81BCF" w:rsidRPr="004C0DE3" w:rsidRDefault="00B81BCF" w:rsidP="00B81BCF">
      <w:pPr>
        <w:ind w:left="567"/>
        <w:rPr>
          <w:rFonts w:cs="Arial"/>
          <w:szCs w:val="22"/>
        </w:rPr>
      </w:pPr>
    </w:p>
    <w:p w:rsidR="00B81BCF" w:rsidRPr="004C0DE3" w:rsidRDefault="00B81BCF" w:rsidP="00B81BCF">
      <w:pPr>
        <w:numPr>
          <w:ilvl w:val="0"/>
          <w:numId w:val="2"/>
        </w:numPr>
        <w:rPr>
          <w:rFonts w:cs="Arial"/>
          <w:szCs w:val="22"/>
        </w:rPr>
      </w:pPr>
      <w:r w:rsidRPr="004C0DE3">
        <w:rPr>
          <w:rFonts w:cs="Arial"/>
          <w:b/>
          <w:szCs w:val="22"/>
        </w:rPr>
        <w:t>Bauweis</w:t>
      </w:r>
      <w:r w:rsidR="00F51099" w:rsidRPr="004C0DE3">
        <w:rPr>
          <w:rFonts w:cs="Arial"/>
          <w:szCs w:val="22"/>
        </w:rPr>
        <w:t>e (§ 9 Abs. 1 Nr. 2</w:t>
      </w:r>
      <w:r w:rsidRPr="004C0DE3">
        <w:rPr>
          <w:rFonts w:cs="Arial"/>
          <w:szCs w:val="22"/>
        </w:rPr>
        <w:t xml:space="preserve"> BauGB i. </w:t>
      </w:r>
      <w:r w:rsidR="00F51099" w:rsidRPr="004C0DE3">
        <w:rPr>
          <w:rFonts w:cs="Arial"/>
          <w:szCs w:val="22"/>
        </w:rPr>
        <w:t>S. v. § 22 Abs. 2 BauNVO)</w:t>
      </w:r>
      <w:r w:rsidRPr="004C0DE3">
        <w:rPr>
          <w:rFonts w:cs="Arial"/>
          <w:szCs w:val="22"/>
        </w:rPr>
        <w:br/>
      </w:r>
      <w:r w:rsidR="00BA206A" w:rsidRPr="004C0DE3">
        <w:rPr>
          <w:rFonts w:cs="Arial"/>
          <w:szCs w:val="22"/>
        </w:rPr>
        <w:t>WA 1:</w:t>
      </w:r>
      <w:r w:rsidR="00BA206A" w:rsidRPr="004C0DE3">
        <w:rPr>
          <w:rFonts w:cs="Arial"/>
          <w:szCs w:val="22"/>
        </w:rPr>
        <w:tab/>
      </w:r>
      <w:r w:rsidR="00BF20C0" w:rsidRPr="004C0DE3">
        <w:rPr>
          <w:rFonts w:cs="Arial"/>
          <w:szCs w:val="22"/>
        </w:rPr>
        <w:t>offen, zulässig si</w:t>
      </w:r>
      <w:r w:rsidR="00BA206A" w:rsidRPr="004C0DE3">
        <w:rPr>
          <w:rFonts w:cs="Arial"/>
          <w:szCs w:val="22"/>
        </w:rPr>
        <w:t>nd nur Einzel- und Doppelhäuser</w:t>
      </w:r>
      <w:r w:rsidR="00BA206A" w:rsidRPr="004C0DE3">
        <w:rPr>
          <w:rFonts w:cs="Arial"/>
          <w:szCs w:val="22"/>
        </w:rPr>
        <w:br/>
        <w:t>WA 2:</w:t>
      </w:r>
      <w:r w:rsidR="00BA206A" w:rsidRPr="004C0DE3">
        <w:rPr>
          <w:rFonts w:cs="Arial"/>
          <w:szCs w:val="22"/>
        </w:rPr>
        <w:tab/>
        <w:t>offen</w:t>
      </w:r>
    </w:p>
    <w:p w:rsidR="00BF20C0" w:rsidRPr="004C0DE3" w:rsidRDefault="00BF20C0" w:rsidP="00BF20C0">
      <w:pPr>
        <w:ind w:left="567"/>
        <w:rPr>
          <w:rFonts w:cs="Arial"/>
          <w:szCs w:val="22"/>
        </w:rPr>
      </w:pPr>
    </w:p>
    <w:p w:rsidR="00BF20C0" w:rsidRPr="004C0DE3" w:rsidRDefault="00BF20C0" w:rsidP="00A85685">
      <w:pPr>
        <w:pStyle w:val="Listenabsatz"/>
        <w:numPr>
          <w:ilvl w:val="0"/>
          <w:numId w:val="2"/>
        </w:numPr>
        <w:rPr>
          <w:rFonts w:cs="Arial"/>
          <w:szCs w:val="22"/>
        </w:rPr>
      </w:pPr>
      <w:r w:rsidRPr="004C0DE3">
        <w:rPr>
          <w:rFonts w:cs="Arial"/>
          <w:b/>
          <w:szCs w:val="22"/>
        </w:rPr>
        <w:t xml:space="preserve">Geschosszahl </w:t>
      </w:r>
      <w:r w:rsidRPr="004C0DE3">
        <w:rPr>
          <w:rFonts w:cs="Arial"/>
          <w:szCs w:val="22"/>
        </w:rPr>
        <w:t>(§ 9 Abs. 1 Nr. 1 BauGB i. V. m. § 16 BauNVO)</w:t>
      </w:r>
    </w:p>
    <w:p w:rsidR="00BF20C0" w:rsidRPr="004C0DE3" w:rsidRDefault="00BF20C0" w:rsidP="007F04DA">
      <w:pPr>
        <w:ind w:left="567"/>
        <w:rPr>
          <w:rFonts w:cs="Arial"/>
          <w:szCs w:val="22"/>
        </w:rPr>
      </w:pPr>
      <w:r w:rsidRPr="004C0DE3">
        <w:rPr>
          <w:rFonts w:cs="Arial"/>
          <w:szCs w:val="22"/>
        </w:rPr>
        <w:t>Zulässig sind max. zwei Vollgeschosse.</w:t>
      </w:r>
      <w:r w:rsidR="00111E80" w:rsidRPr="004C0DE3">
        <w:rPr>
          <w:rFonts w:cs="Arial"/>
          <w:szCs w:val="22"/>
        </w:rPr>
        <w:br/>
      </w:r>
    </w:p>
    <w:p w:rsidR="00BF20C0" w:rsidRPr="004C0DE3" w:rsidRDefault="00BF20C0" w:rsidP="00BF20C0">
      <w:pPr>
        <w:pStyle w:val="Listenabsatz"/>
        <w:numPr>
          <w:ilvl w:val="0"/>
          <w:numId w:val="2"/>
        </w:numPr>
        <w:rPr>
          <w:rFonts w:cs="Arial"/>
          <w:b/>
          <w:szCs w:val="22"/>
        </w:rPr>
      </w:pPr>
      <w:r w:rsidRPr="004C0DE3">
        <w:rPr>
          <w:rFonts w:cs="Arial"/>
          <w:b/>
          <w:szCs w:val="22"/>
        </w:rPr>
        <w:t xml:space="preserve">Zahl der Wohnungen </w:t>
      </w:r>
      <w:r w:rsidRPr="004C0DE3">
        <w:rPr>
          <w:rFonts w:cs="Arial"/>
          <w:szCs w:val="22"/>
        </w:rPr>
        <w:t>(§ 9 Abs. 1 Nr. 6 BauGB).</w:t>
      </w:r>
    </w:p>
    <w:p w:rsidR="00B81BCF" w:rsidRPr="004C0DE3" w:rsidRDefault="00BF20C0" w:rsidP="007F04DA">
      <w:pPr>
        <w:pStyle w:val="Listenabsatz"/>
        <w:ind w:left="567"/>
        <w:rPr>
          <w:rFonts w:cs="Arial"/>
          <w:b/>
          <w:szCs w:val="22"/>
        </w:rPr>
      </w:pPr>
      <w:r w:rsidRPr="004C0DE3">
        <w:rPr>
          <w:rFonts w:cs="Arial"/>
          <w:szCs w:val="22"/>
        </w:rPr>
        <w:t xml:space="preserve">Pro Einzelhaus sind </w:t>
      </w:r>
      <w:r w:rsidR="00111E80" w:rsidRPr="004C0DE3">
        <w:rPr>
          <w:rFonts w:cs="Arial"/>
          <w:szCs w:val="22"/>
        </w:rPr>
        <w:t xml:space="preserve">im WA 1 </w:t>
      </w:r>
      <w:r w:rsidRPr="004C0DE3">
        <w:rPr>
          <w:rFonts w:cs="Arial"/>
          <w:szCs w:val="22"/>
        </w:rPr>
        <w:t xml:space="preserve">max. </w:t>
      </w:r>
      <w:r w:rsidR="00111E80" w:rsidRPr="004C0DE3">
        <w:rPr>
          <w:rFonts w:cs="Arial"/>
          <w:szCs w:val="22"/>
        </w:rPr>
        <w:t>2</w:t>
      </w:r>
      <w:r w:rsidRPr="004C0DE3">
        <w:rPr>
          <w:rFonts w:cs="Arial"/>
          <w:szCs w:val="22"/>
        </w:rPr>
        <w:t xml:space="preserve"> Wohnungen, pro Doppelhaushälfte max. </w:t>
      </w:r>
      <w:r w:rsidR="00111E80" w:rsidRPr="004C0DE3">
        <w:rPr>
          <w:rFonts w:cs="Arial"/>
          <w:szCs w:val="22"/>
        </w:rPr>
        <w:t>1</w:t>
      </w:r>
      <w:r w:rsidRPr="004C0DE3">
        <w:rPr>
          <w:rFonts w:cs="Arial"/>
          <w:szCs w:val="22"/>
        </w:rPr>
        <w:t xml:space="preserve"> Wohnun</w:t>
      </w:r>
      <w:r w:rsidR="00111E80" w:rsidRPr="004C0DE3">
        <w:rPr>
          <w:rFonts w:cs="Arial"/>
          <w:szCs w:val="22"/>
        </w:rPr>
        <w:t xml:space="preserve">g </w:t>
      </w:r>
      <w:r w:rsidRPr="004C0DE3">
        <w:rPr>
          <w:rFonts w:cs="Arial"/>
          <w:szCs w:val="22"/>
        </w:rPr>
        <w:t>zulässig.</w:t>
      </w:r>
      <w:r w:rsidR="00111E80" w:rsidRPr="004C0DE3">
        <w:rPr>
          <w:rFonts w:cs="Arial"/>
          <w:szCs w:val="22"/>
        </w:rPr>
        <w:t xml:space="preserve"> Im WA 2 </w:t>
      </w:r>
      <w:r w:rsidR="00401A98" w:rsidRPr="004C0DE3">
        <w:rPr>
          <w:rFonts w:cs="Arial"/>
          <w:szCs w:val="22"/>
        </w:rPr>
        <w:t>ist</w:t>
      </w:r>
      <w:r w:rsidR="00111E80" w:rsidRPr="004C0DE3">
        <w:rPr>
          <w:rFonts w:cs="Arial"/>
          <w:szCs w:val="22"/>
        </w:rPr>
        <w:t xml:space="preserve"> pro </w:t>
      </w:r>
      <w:r w:rsidR="00401A98" w:rsidRPr="004C0DE3">
        <w:rPr>
          <w:rFonts w:cs="Arial"/>
          <w:szCs w:val="22"/>
        </w:rPr>
        <w:t xml:space="preserve">angefangene </w:t>
      </w:r>
      <w:r w:rsidR="00F1505C" w:rsidRPr="004C0DE3">
        <w:rPr>
          <w:rFonts w:cs="Arial"/>
          <w:szCs w:val="22"/>
        </w:rPr>
        <w:t>160</w:t>
      </w:r>
      <w:r w:rsidR="00401A98" w:rsidRPr="004C0DE3">
        <w:rPr>
          <w:rFonts w:cs="Arial"/>
          <w:szCs w:val="22"/>
        </w:rPr>
        <w:t xml:space="preserve"> m² Grundstücksfläche 1 </w:t>
      </w:r>
      <w:proofErr w:type="gramStart"/>
      <w:r w:rsidR="00401A98" w:rsidRPr="004C0DE3">
        <w:rPr>
          <w:rFonts w:cs="Arial"/>
          <w:szCs w:val="22"/>
        </w:rPr>
        <w:t xml:space="preserve">Wohnung </w:t>
      </w:r>
      <w:r w:rsidR="00111E80" w:rsidRPr="004C0DE3">
        <w:rPr>
          <w:rFonts w:cs="Arial"/>
          <w:szCs w:val="22"/>
        </w:rPr>
        <w:t xml:space="preserve"> zulässig</w:t>
      </w:r>
      <w:proofErr w:type="gramEnd"/>
      <w:r w:rsidR="00111E80" w:rsidRPr="004C0DE3">
        <w:rPr>
          <w:rFonts w:cs="Arial"/>
          <w:szCs w:val="22"/>
        </w:rPr>
        <w:t xml:space="preserve">. </w:t>
      </w:r>
    </w:p>
    <w:p w:rsidR="00B81BCF" w:rsidRPr="004C0DE3" w:rsidRDefault="00B81BCF" w:rsidP="00B81BCF">
      <w:pPr>
        <w:ind w:left="567"/>
        <w:rPr>
          <w:rFonts w:cs="Arial"/>
          <w:szCs w:val="22"/>
        </w:rPr>
      </w:pPr>
    </w:p>
    <w:p w:rsidR="00B81BCF" w:rsidRPr="004C0DE3" w:rsidRDefault="00B81BCF" w:rsidP="00B81BCF">
      <w:pPr>
        <w:rPr>
          <w:rFonts w:cs="Arial"/>
          <w:szCs w:val="22"/>
        </w:rPr>
      </w:pPr>
    </w:p>
    <w:p w:rsidR="00B81BCF" w:rsidRPr="004C0DE3" w:rsidRDefault="00B81BCF" w:rsidP="00B81BCF">
      <w:pPr>
        <w:rPr>
          <w:rFonts w:cs="Arial"/>
          <w:szCs w:val="22"/>
        </w:rPr>
      </w:pPr>
    </w:p>
    <w:p w:rsidR="008F13B7" w:rsidRPr="004C0DE3" w:rsidRDefault="00BF20C0" w:rsidP="00B81BCF">
      <w:pPr>
        <w:numPr>
          <w:ilvl w:val="0"/>
          <w:numId w:val="2"/>
        </w:numPr>
        <w:rPr>
          <w:rFonts w:cs="Arial"/>
          <w:szCs w:val="22"/>
        </w:rPr>
      </w:pPr>
      <w:r w:rsidRPr="004C0DE3">
        <w:rPr>
          <w:rFonts w:cs="Arial"/>
          <w:b/>
          <w:szCs w:val="22"/>
        </w:rPr>
        <w:t>Garagen</w:t>
      </w:r>
      <w:r w:rsidRPr="004C0DE3">
        <w:rPr>
          <w:rFonts w:cs="Arial"/>
          <w:szCs w:val="22"/>
        </w:rPr>
        <w:t xml:space="preserve"> (§ 9 Abs. 1 Nr. 4 BauGB i. V. m. § 23 Abs. 5 BauNVO)</w:t>
      </w:r>
      <w:r w:rsidR="00B81BCF" w:rsidRPr="004C0DE3">
        <w:rPr>
          <w:rFonts w:cs="Arial"/>
          <w:szCs w:val="22"/>
        </w:rPr>
        <w:t xml:space="preserve"> </w:t>
      </w:r>
    </w:p>
    <w:p w:rsidR="00B81BCF" w:rsidRPr="004C0DE3" w:rsidRDefault="008F13B7" w:rsidP="008F13B7">
      <w:pPr>
        <w:ind w:left="567"/>
        <w:rPr>
          <w:rFonts w:cs="Arial"/>
          <w:szCs w:val="22"/>
        </w:rPr>
      </w:pPr>
      <w:r w:rsidRPr="004C0DE3">
        <w:rPr>
          <w:rFonts w:cs="Arial"/>
          <w:szCs w:val="22"/>
        </w:rPr>
        <w:t xml:space="preserve">Garagen und überdachte Stellplätze sind nur auf den überbaubaren Grundstücksflächen zulässig. Garagen und überdachte Stellplätze sind im Zufahrtsbereich mit einem Abstand von 5,00 m zur </w:t>
      </w:r>
      <w:r w:rsidR="00111E80" w:rsidRPr="004C0DE3">
        <w:rPr>
          <w:rFonts w:cs="Arial"/>
          <w:szCs w:val="22"/>
        </w:rPr>
        <w:t>öffentlichen</w:t>
      </w:r>
      <w:r w:rsidRPr="004C0DE3">
        <w:rPr>
          <w:rFonts w:cs="Arial"/>
          <w:szCs w:val="22"/>
        </w:rPr>
        <w:t xml:space="preserve"> Verkehrsfläche zu erstellen. </w:t>
      </w:r>
      <w:r w:rsidR="0095439F" w:rsidRPr="004C0DE3">
        <w:rPr>
          <w:rFonts w:cs="Arial"/>
          <w:szCs w:val="22"/>
        </w:rPr>
        <w:t>Dies gilt nicht im Bereich der verbi</w:t>
      </w:r>
      <w:r w:rsidR="00023C3F" w:rsidRPr="004C0DE3">
        <w:rPr>
          <w:rFonts w:cs="Arial"/>
          <w:szCs w:val="22"/>
        </w:rPr>
        <w:t>n</w:t>
      </w:r>
      <w:r w:rsidR="0095439F" w:rsidRPr="004C0DE3">
        <w:rPr>
          <w:rFonts w:cs="Arial"/>
          <w:szCs w:val="22"/>
        </w:rPr>
        <w:t xml:space="preserve">dlichen Garagenstandorte. </w:t>
      </w:r>
      <w:r w:rsidR="00B81BCF" w:rsidRPr="004C0DE3">
        <w:rPr>
          <w:rFonts w:cs="Arial"/>
          <w:szCs w:val="22"/>
        </w:rPr>
        <w:br/>
      </w:r>
    </w:p>
    <w:p w:rsidR="00B81BCF" w:rsidRPr="004C0DE3" w:rsidRDefault="008F13B7" w:rsidP="00B81BCF">
      <w:pPr>
        <w:numPr>
          <w:ilvl w:val="0"/>
          <w:numId w:val="2"/>
        </w:numPr>
        <w:rPr>
          <w:rFonts w:cs="Arial"/>
          <w:b/>
          <w:szCs w:val="22"/>
        </w:rPr>
      </w:pPr>
      <w:r w:rsidRPr="004C0DE3">
        <w:rPr>
          <w:rFonts w:cs="Arial"/>
          <w:b/>
          <w:szCs w:val="22"/>
        </w:rPr>
        <w:t xml:space="preserve">Nebenanlagen </w:t>
      </w:r>
      <w:r w:rsidRPr="004C0DE3">
        <w:rPr>
          <w:rFonts w:cs="Arial"/>
          <w:szCs w:val="22"/>
        </w:rPr>
        <w:t>(§ 23 Abs. 5 BauNVO)</w:t>
      </w:r>
    </w:p>
    <w:p w:rsidR="008F13B7" w:rsidRPr="004C0DE3" w:rsidRDefault="008F13B7" w:rsidP="008F13B7">
      <w:pPr>
        <w:ind w:left="567"/>
        <w:rPr>
          <w:rFonts w:cs="Arial"/>
          <w:b/>
          <w:szCs w:val="22"/>
        </w:rPr>
      </w:pPr>
      <w:r w:rsidRPr="004C0DE3">
        <w:rPr>
          <w:rFonts w:cs="Arial"/>
          <w:szCs w:val="22"/>
        </w:rPr>
        <w:t xml:space="preserve">Nebengebäude sind nur innerhalb der bebaubaren Grundstücksfläche zulässig. </w:t>
      </w:r>
    </w:p>
    <w:p w:rsidR="00B81BCF" w:rsidRPr="004C0DE3" w:rsidRDefault="00B81BCF" w:rsidP="00B81BCF">
      <w:pPr>
        <w:rPr>
          <w:rFonts w:cs="Arial"/>
          <w:szCs w:val="22"/>
        </w:rPr>
      </w:pPr>
    </w:p>
    <w:p w:rsidR="00B81BCF" w:rsidRPr="004C0DE3" w:rsidRDefault="008F13B7" w:rsidP="008F13B7">
      <w:pPr>
        <w:pStyle w:val="Listenabsatz"/>
        <w:numPr>
          <w:ilvl w:val="0"/>
          <w:numId w:val="2"/>
        </w:numPr>
        <w:rPr>
          <w:rFonts w:cs="Arial"/>
          <w:b/>
          <w:bCs/>
          <w:szCs w:val="22"/>
        </w:rPr>
      </w:pPr>
      <w:r w:rsidRPr="004C0DE3">
        <w:rPr>
          <w:rFonts w:cs="Arial"/>
          <w:b/>
          <w:bCs/>
          <w:szCs w:val="22"/>
        </w:rPr>
        <w:t xml:space="preserve">Pflanzgebot </w:t>
      </w:r>
      <w:r w:rsidRPr="004C0DE3">
        <w:rPr>
          <w:rFonts w:cs="Arial"/>
          <w:bCs/>
          <w:szCs w:val="22"/>
        </w:rPr>
        <w:t>(pfg) (§ 9 Abs. 1 Nr. 25 BauGB)</w:t>
      </w:r>
    </w:p>
    <w:p w:rsidR="008F13B7" w:rsidRPr="004C0DE3" w:rsidRDefault="008F13B7" w:rsidP="008F13B7">
      <w:pPr>
        <w:pStyle w:val="Listenabsatz"/>
        <w:ind w:left="567"/>
        <w:rPr>
          <w:rFonts w:cs="Arial"/>
          <w:bCs/>
          <w:szCs w:val="22"/>
        </w:rPr>
      </w:pPr>
      <w:r w:rsidRPr="004C0DE3">
        <w:rPr>
          <w:rFonts w:cs="Arial"/>
          <w:bCs/>
          <w:szCs w:val="22"/>
        </w:rPr>
        <w:t xml:space="preserve">Auf den Baugrundstücken </w:t>
      </w:r>
      <w:r w:rsidR="00111E80" w:rsidRPr="004C0DE3">
        <w:rPr>
          <w:rFonts w:cs="Arial"/>
          <w:bCs/>
          <w:szCs w:val="22"/>
        </w:rPr>
        <w:t xml:space="preserve">im WA 1 </w:t>
      </w:r>
      <w:r w:rsidRPr="004C0DE3">
        <w:rPr>
          <w:rFonts w:cs="Arial"/>
          <w:bCs/>
          <w:szCs w:val="22"/>
        </w:rPr>
        <w:t xml:space="preserve">ist </w:t>
      </w:r>
      <w:r w:rsidR="00111E80" w:rsidRPr="004C0DE3">
        <w:rPr>
          <w:rFonts w:cs="Arial"/>
          <w:bCs/>
          <w:szCs w:val="22"/>
        </w:rPr>
        <w:t xml:space="preserve">je 1 Baum, im WA 2 sind je 2 Bäume </w:t>
      </w:r>
      <w:r w:rsidRPr="004C0DE3">
        <w:rPr>
          <w:rFonts w:cs="Arial"/>
          <w:bCs/>
          <w:szCs w:val="22"/>
        </w:rPr>
        <w:t>an beliebiger Stelle zu pflanzen. Zu verwenden sind Spitzahorn, Stieleiche, Winterlinde, Buche, Feldahorn, Hainbuche, Vogelbeere, Mehlbeere oder hochstämmige, lokaltypische Obstbäume. Die Bäume müssen bei Pflanzung einen Stammumfang von mindestens 10 – 12 cm haben.</w:t>
      </w:r>
    </w:p>
    <w:p w:rsidR="008F13B7" w:rsidRPr="004C0DE3" w:rsidRDefault="008F13B7" w:rsidP="008F13B7">
      <w:pPr>
        <w:rPr>
          <w:rFonts w:cs="Arial"/>
          <w:b/>
          <w:bCs/>
          <w:szCs w:val="22"/>
        </w:rPr>
      </w:pPr>
    </w:p>
    <w:p w:rsidR="00430011" w:rsidRPr="004C0DE3" w:rsidRDefault="00430011" w:rsidP="00430011">
      <w:pPr>
        <w:pStyle w:val="Listenabsatz"/>
        <w:numPr>
          <w:ilvl w:val="0"/>
          <w:numId w:val="2"/>
        </w:numPr>
        <w:rPr>
          <w:rFonts w:cs="Arial"/>
          <w:b/>
          <w:bCs/>
          <w:szCs w:val="22"/>
        </w:rPr>
      </w:pPr>
      <w:r w:rsidRPr="004C0DE3">
        <w:rPr>
          <w:rFonts w:cs="Arial"/>
          <w:b/>
          <w:bCs/>
          <w:szCs w:val="22"/>
        </w:rPr>
        <w:t xml:space="preserve">Versorgungsleitungen </w:t>
      </w:r>
      <w:r w:rsidRPr="004C0DE3">
        <w:rPr>
          <w:rFonts w:cs="Arial"/>
          <w:bCs/>
          <w:szCs w:val="22"/>
        </w:rPr>
        <w:t>(§ 9 Abs. 1 Nr. 13 BauGB)</w:t>
      </w:r>
    </w:p>
    <w:p w:rsidR="00430011" w:rsidRPr="004C0DE3" w:rsidRDefault="00430011" w:rsidP="00430011">
      <w:pPr>
        <w:pStyle w:val="Listenabsatz"/>
        <w:ind w:left="567"/>
        <w:rPr>
          <w:rFonts w:cs="Arial"/>
          <w:bCs/>
          <w:szCs w:val="22"/>
        </w:rPr>
      </w:pPr>
      <w:r w:rsidRPr="004C0DE3">
        <w:rPr>
          <w:rFonts w:cs="Arial"/>
          <w:bCs/>
          <w:szCs w:val="22"/>
        </w:rPr>
        <w:t>Versorgungsleitungen sind unterirdisch zu verlegen.</w:t>
      </w:r>
      <w:r w:rsidRPr="004C0DE3">
        <w:rPr>
          <w:rFonts w:cs="Arial"/>
          <w:bCs/>
          <w:szCs w:val="22"/>
        </w:rPr>
        <w:br/>
      </w:r>
    </w:p>
    <w:p w:rsidR="008F13B7" w:rsidRPr="004C0DE3" w:rsidRDefault="00430011" w:rsidP="00A85685">
      <w:pPr>
        <w:pStyle w:val="Listenabsatz"/>
        <w:numPr>
          <w:ilvl w:val="0"/>
          <w:numId w:val="2"/>
        </w:numPr>
        <w:rPr>
          <w:rFonts w:cs="Arial"/>
          <w:b/>
          <w:bCs/>
          <w:szCs w:val="22"/>
        </w:rPr>
      </w:pPr>
      <w:r w:rsidRPr="004C0DE3">
        <w:rPr>
          <w:rFonts w:cs="Arial"/>
          <w:b/>
          <w:bCs/>
          <w:szCs w:val="22"/>
        </w:rPr>
        <w:t>Leitungsrecht (§ 9 Abs. 1 Nr. 21 BauGB)</w:t>
      </w:r>
      <w:r w:rsidRPr="004C0DE3">
        <w:rPr>
          <w:rFonts w:cs="Arial"/>
          <w:b/>
          <w:bCs/>
          <w:szCs w:val="22"/>
        </w:rPr>
        <w:br/>
      </w:r>
      <w:r w:rsidRPr="004C0DE3">
        <w:rPr>
          <w:rFonts w:cs="Arial"/>
          <w:bCs/>
          <w:szCs w:val="22"/>
        </w:rPr>
        <w:t xml:space="preserve">Die mit Leitungsrecht belegten Flächen sind von baulichen Anlagen jeglicher Art freizuhalten. Bepflanzungen und sonstige Nutzungen sind mit dem Begünstigten des Leitungsrechts abzustimmen. </w:t>
      </w:r>
      <w:r w:rsidRPr="004C0DE3">
        <w:rPr>
          <w:rFonts w:cs="Arial"/>
          <w:b/>
          <w:bCs/>
          <w:szCs w:val="22"/>
        </w:rPr>
        <w:br/>
      </w:r>
    </w:p>
    <w:p w:rsidR="00B81BCF" w:rsidRPr="004C0DE3" w:rsidRDefault="00B81BCF" w:rsidP="00B81BCF">
      <w:pPr>
        <w:rPr>
          <w:rFonts w:cs="Arial"/>
          <w:b/>
          <w:bCs/>
          <w:szCs w:val="22"/>
        </w:rPr>
      </w:pPr>
    </w:p>
    <w:p w:rsidR="00B81BCF" w:rsidRPr="004C0DE3" w:rsidRDefault="00B81BCF" w:rsidP="00B81BCF">
      <w:pPr>
        <w:numPr>
          <w:ilvl w:val="0"/>
          <w:numId w:val="4"/>
        </w:numPr>
        <w:rPr>
          <w:rFonts w:cs="Arial"/>
          <w:b/>
          <w:bCs/>
          <w:szCs w:val="22"/>
        </w:rPr>
      </w:pPr>
      <w:r w:rsidRPr="004C0DE3">
        <w:rPr>
          <w:rFonts w:cs="Arial"/>
          <w:b/>
          <w:bCs/>
          <w:szCs w:val="22"/>
        </w:rPr>
        <w:t xml:space="preserve">Örtliche Bauvorschriften </w:t>
      </w:r>
      <w:r w:rsidR="00213FD8" w:rsidRPr="004C0DE3">
        <w:rPr>
          <w:rFonts w:cs="Arial"/>
          <w:b/>
          <w:bCs/>
          <w:szCs w:val="22"/>
        </w:rPr>
        <w:t>(§ 74 LBO)</w:t>
      </w:r>
    </w:p>
    <w:p w:rsidR="00213FD8" w:rsidRPr="004C0DE3" w:rsidRDefault="00213FD8" w:rsidP="00213FD8">
      <w:pPr>
        <w:ind w:left="567"/>
        <w:rPr>
          <w:rFonts w:cs="Arial"/>
          <w:b/>
          <w:bCs/>
          <w:szCs w:val="22"/>
        </w:rPr>
      </w:pPr>
    </w:p>
    <w:p w:rsidR="00B81BCF" w:rsidRPr="004C0DE3" w:rsidRDefault="00B81BCF" w:rsidP="00A85685">
      <w:pPr>
        <w:pStyle w:val="Kopfzeile"/>
        <w:tabs>
          <w:tab w:val="left" w:pos="708"/>
        </w:tabs>
        <w:ind w:left="567"/>
        <w:rPr>
          <w:rFonts w:cs="Arial"/>
          <w:szCs w:val="22"/>
        </w:rPr>
      </w:pPr>
      <w:r w:rsidRPr="004C0DE3">
        <w:rPr>
          <w:rFonts w:cs="Arial"/>
          <w:szCs w:val="22"/>
        </w:rPr>
        <w:t>Rechtsgrundlage</w:t>
      </w:r>
      <w:r w:rsidRPr="004C0DE3">
        <w:rPr>
          <w:rFonts w:cs="Arial"/>
          <w:szCs w:val="22"/>
        </w:rPr>
        <w:br/>
        <w:t xml:space="preserve">Landesbauordnung (LBO) i. d. F. vom 05.03.2010 (GBl. S. 357, ber. S. 416), zuletzt geändert am </w:t>
      </w:r>
      <w:r w:rsidR="00C35EF5" w:rsidRPr="004C0DE3">
        <w:rPr>
          <w:rFonts w:cs="Arial"/>
          <w:szCs w:val="22"/>
        </w:rPr>
        <w:t>31.07.2019</w:t>
      </w:r>
      <w:r w:rsidRPr="004C0DE3">
        <w:rPr>
          <w:rFonts w:cs="Arial"/>
          <w:szCs w:val="22"/>
        </w:rPr>
        <w:t xml:space="preserve"> (GBl. I S. </w:t>
      </w:r>
      <w:r w:rsidR="00C35EF5" w:rsidRPr="004C0DE3">
        <w:rPr>
          <w:rFonts w:cs="Arial"/>
          <w:szCs w:val="22"/>
        </w:rPr>
        <w:t>313</w:t>
      </w:r>
      <w:r w:rsidRPr="004C0DE3">
        <w:rPr>
          <w:rFonts w:cs="Arial"/>
          <w:szCs w:val="22"/>
        </w:rPr>
        <w:t>ff)</w:t>
      </w:r>
    </w:p>
    <w:p w:rsidR="00213FD8" w:rsidRPr="004C0DE3" w:rsidRDefault="00213FD8" w:rsidP="00B81BCF">
      <w:pPr>
        <w:pStyle w:val="Kopfzeile"/>
        <w:tabs>
          <w:tab w:val="left" w:pos="708"/>
        </w:tabs>
        <w:rPr>
          <w:rFonts w:cs="Arial"/>
          <w:color w:val="000000"/>
          <w:szCs w:val="22"/>
        </w:rPr>
      </w:pPr>
    </w:p>
    <w:p w:rsidR="00213FD8" w:rsidRPr="004C0DE3" w:rsidRDefault="00213FD8" w:rsidP="00B81BCF">
      <w:pPr>
        <w:pStyle w:val="Kopfzeile"/>
        <w:tabs>
          <w:tab w:val="left" w:pos="708"/>
        </w:tabs>
        <w:rPr>
          <w:rFonts w:cs="Arial"/>
          <w:color w:val="000000"/>
          <w:szCs w:val="22"/>
        </w:rPr>
      </w:pPr>
    </w:p>
    <w:p w:rsidR="00213FD8" w:rsidRPr="004C0DE3" w:rsidRDefault="00213FD8" w:rsidP="00213FD8">
      <w:pPr>
        <w:pStyle w:val="Kopfzeile"/>
        <w:numPr>
          <w:ilvl w:val="2"/>
          <w:numId w:val="2"/>
        </w:numPr>
        <w:tabs>
          <w:tab w:val="left" w:pos="708"/>
        </w:tabs>
        <w:rPr>
          <w:rFonts w:cs="Arial"/>
          <w:color w:val="000000"/>
          <w:szCs w:val="22"/>
        </w:rPr>
      </w:pPr>
      <w:r w:rsidRPr="004C0DE3">
        <w:rPr>
          <w:rFonts w:cs="Arial"/>
          <w:b/>
          <w:color w:val="000000"/>
          <w:szCs w:val="22"/>
        </w:rPr>
        <w:t>Gebäudehöhen</w:t>
      </w:r>
      <w:r w:rsidRPr="004C0DE3">
        <w:rPr>
          <w:rFonts w:cs="Arial"/>
          <w:color w:val="000000"/>
          <w:szCs w:val="22"/>
        </w:rPr>
        <w:t xml:space="preserve"> (§ 74 Abs. 1 Nr. 1 LBO)</w:t>
      </w:r>
    </w:p>
    <w:p w:rsidR="00B81BCF" w:rsidRPr="004C0DE3" w:rsidRDefault="00213FD8" w:rsidP="00213FD8">
      <w:pPr>
        <w:pStyle w:val="Kopfzeile"/>
        <w:tabs>
          <w:tab w:val="left" w:pos="708"/>
        </w:tabs>
        <w:ind w:left="567"/>
        <w:rPr>
          <w:rFonts w:cs="Arial"/>
          <w:color w:val="000000"/>
          <w:szCs w:val="22"/>
        </w:rPr>
      </w:pPr>
      <w:r w:rsidRPr="004C0DE3">
        <w:rPr>
          <w:rFonts w:cs="Arial"/>
          <w:color w:val="000000"/>
          <w:szCs w:val="22"/>
        </w:rPr>
        <w:t>Die max. zulässige Firsthöhe (gemessen zwischen Roh-EFH und dem höchsten Pun</w:t>
      </w:r>
      <w:r w:rsidR="00111E80" w:rsidRPr="004C0DE3">
        <w:rPr>
          <w:rFonts w:cs="Arial"/>
          <w:color w:val="000000"/>
          <w:szCs w:val="22"/>
        </w:rPr>
        <w:t xml:space="preserve">kt des Gebäudes) beträgt im WA 1 max. 8,50 m, im WA 2 max. </w:t>
      </w:r>
      <w:r w:rsidR="00111E80" w:rsidRPr="004C0DE3">
        <w:rPr>
          <w:rFonts w:cs="Arial"/>
          <w:color w:val="000000"/>
          <w:szCs w:val="22"/>
          <w:highlight w:val="yellow"/>
        </w:rPr>
        <w:t>9</w:t>
      </w:r>
      <w:r w:rsidR="00037029" w:rsidRPr="004C0DE3">
        <w:rPr>
          <w:rFonts w:cs="Arial"/>
          <w:color w:val="000000"/>
          <w:szCs w:val="22"/>
          <w:highlight w:val="yellow"/>
        </w:rPr>
        <w:t>,5</w:t>
      </w:r>
      <w:r w:rsidR="00111E80" w:rsidRPr="004C0DE3">
        <w:rPr>
          <w:rFonts w:cs="Arial"/>
          <w:color w:val="000000"/>
          <w:szCs w:val="22"/>
          <w:highlight w:val="yellow"/>
        </w:rPr>
        <w:t xml:space="preserve"> m.</w:t>
      </w:r>
      <w:r w:rsidR="00111E80" w:rsidRPr="004C0DE3">
        <w:rPr>
          <w:rFonts w:cs="Arial"/>
          <w:color w:val="000000"/>
          <w:szCs w:val="22"/>
        </w:rPr>
        <w:br/>
      </w:r>
      <w:r w:rsidR="00111E80" w:rsidRPr="004C0DE3">
        <w:rPr>
          <w:rFonts w:cs="Arial"/>
          <w:color w:val="000000"/>
          <w:szCs w:val="22"/>
        </w:rPr>
        <w:br/>
        <w:t xml:space="preserve">Quergiebel bzw. Vorbauten sind zulässig, sofern der Querbau bzw. der Vorbau nicht mehr als 2,50 m vor die Außenwand vortritt und nicht breiter als 50 % der Hauptgebäudelänge ist. Der Quergiebel bzw. Vorbau </w:t>
      </w:r>
      <w:proofErr w:type="gramStart"/>
      <w:r w:rsidR="00111E80" w:rsidRPr="004C0DE3">
        <w:rPr>
          <w:rFonts w:cs="Arial"/>
          <w:color w:val="000000"/>
          <w:szCs w:val="22"/>
        </w:rPr>
        <w:t>darf</w:t>
      </w:r>
      <w:proofErr w:type="gramEnd"/>
      <w:r w:rsidR="00111E80" w:rsidRPr="004C0DE3">
        <w:rPr>
          <w:rFonts w:cs="Arial"/>
          <w:color w:val="000000"/>
          <w:szCs w:val="22"/>
        </w:rPr>
        <w:t xml:space="preserve"> den First des </w:t>
      </w:r>
      <w:r w:rsidR="001E0CA9" w:rsidRPr="004C0DE3">
        <w:rPr>
          <w:rFonts w:cs="Arial"/>
          <w:color w:val="000000"/>
          <w:szCs w:val="22"/>
        </w:rPr>
        <w:t>H</w:t>
      </w:r>
      <w:r w:rsidR="00111E80" w:rsidRPr="004C0DE3">
        <w:rPr>
          <w:rFonts w:cs="Arial"/>
          <w:color w:val="000000"/>
          <w:szCs w:val="22"/>
        </w:rPr>
        <w:t xml:space="preserve">auptgebäudes nicht überragen </w:t>
      </w:r>
      <w:r w:rsidR="00B81BCF" w:rsidRPr="004C0DE3">
        <w:rPr>
          <w:rFonts w:cs="Arial"/>
          <w:color w:val="000000"/>
          <w:szCs w:val="22"/>
        </w:rPr>
        <w:br/>
      </w:r>
    </w:p>
    <w:p w:rsidR="00B81BCF" w:rsidRPr="004C0DE3" w:rsidRDefault="00B81BCF" w:rsidP="007358B1">
      <w:pPr>
        <w:pStyle w:val="Kopfzeile"/>
        <w:numPr>
          <w:ilvl w:val="2"/>
          <w:numId w:val="2"/>
        </w:numPr>
        <w:rPr>
          <w:rFonts w:cs="Arial"/>
          <w:color w:val="000000"/>
          <w:szCs w:val="22"/>
        </w:rPr>
      </w:pPr>
      <w:r w:rsidRPr="004C0DE3">
        <w:rPr>
          <w:rFonts w:cs="Arial"/>
          <w:b/>
          <w:bCs/>
          <w:color w:val="000000"/>
          <w:szCs w:val="22"/>
        </w:rPr>
        <w:t xml:space="preserve">Dachform </w:t>
      </w:r>
      <w:r w:rsidRPr="004C0DE3">
        <w:rPr>
          <w:rFonts w:cs="Arial"/>
          <w:bCs/>
          <w:color w:val="000000"/>
          <w:szCs w:val="22"/>
        </w:rPr>
        <w:t>(§ 74 Abs. 1 Nr. 1 LBO)</w:t>
      </w:r>
      <w:r w:rsidRPr="004C0DE3">
        <w:rPr>
          <w:rFonts w:cs="Arial"/>
          <w:color w:val="000000"/>
          <w:szCs w:val="22"/>
        </w:rPr>
        <w:br/>
      </w:r>
      <w:r w:rsidR="00037029" w:rsidRPr="004C0DE3">
        <w:rPr>
          <w:rFonts w:cs="Arial"/>
          <w:color w:val="000000"/>
          <w:szCs w:val="22"/>
          <w:highlight w:val="yellow"/>
        </w:rPr>
        <w:t>Auf</w:t>
      </w:r>
      <w:r w:rsidR="007358B1" w:rsidRPr="004C0DE3">
        <w:rPr>
          <w:rFonts w:cs="Arial"/>
          <w:color w:val="000000"/>
          <w:szCs w:val="22"/>
          <w:highlight w:val="yellow"/>
        </w:rPr>
        <w:t xml:space="preserve"> </w:t>
      </w:r>
      <w:r w:rsidR="00037029" w:rsidRPr="004C0DE3">
        <w:rPr>
          <w:rFonts w:cs="Arial"/>
          <w:color w:val="000000"/>
          <w:szCs w:val="22"/>
          <w:highlight w:val="yellow"/>
        </w:rPr>
        <w:t>d</w:t>
      </w:r>
      <w:r w:rsidR="00371714" w:rsidRPr="004C0DE3">
        <w:rPr>
          <w:rFonts w:cs="Arial"/>
          <w:color w:val="000000"/>
          <w:szCs w:val="22"/>
          <w:highlight w:val="yellow"/>
        </w:rPr>
        <w:t>en</w:t>
      </w:r>
      <w:r w:rsidR="00037029" w:rsidRPr="004C0DE3">
        <w:rPr>
          <w:rFonts w:cs="Arial"/>
          <w:color w:val="000000"/>
          <w:szCs w:val="22"/>
          <w:highlight w:val="yellow"/>
        </w:rPr>
        <w:t xml:space="preserve"> Hauptgebäude</w:t>
      </w:r>
      <w:r w:rsidR="00B7129D" w:rsidRPr="004C0DE3">
        <w:rPr>
          <w:rFonts w:cs="Arial"/>
          <w:color w:val="000000"/>
          <w:szCs w:val="22"/>
          <w:highlight w:val="yellow"/>
        </w:rPr>
        <w:t>n</w:t>
      </w:r>
      <w:r w:rsidR="007358B1" w:rsidRPr="004C0DE3">
        <w:rPr>
          <w:rFonts w:cs="Arial"/>
          <w:color w:val="000000"/>
          <w:szCs w:val="22"/>
          <w:highlight w:val="yellow"/>
        </w:rPr>
        <w:t xml:space="preserve"> sind </w:t>
      </w:r>
      <w:r w:rsidR="00037029" w:rsidRPr="004C0DE3">
        <w:rPr>
          <w:rFonts w:cs="Arial"/>
          <w:color w:val="000000"/>
          <w:szCs w:val="22"/>
          <w:highlight w:val="yellow"/>
        </w:rPr>
        <w:t>Satteldächer</w:t>
      </w:r>
      <w:r w:rsidR="007358B1" w:rsidRPr="004C0DE3">
        <w:rPr>
          <w:rFonts w:cs="Arial"/>
          <w:color w:val="000000"/>
          <w:szCs w:val="22"/>
          <w:highlight w:val="yellow"/>
        </w:rPr>
        <w:t xml:space="preserve">, </w:t>
      </w:r>
      <w:r w:rsidR="00037029" w:rsidRPr="004C0DE3">
        <w:rPr>
          <w:rFonts w:cs="Arial"/>
          <w:color w:val="000000"/>
          <w:szCs w:val="22"/>
          <w:highlight w:val="yellow"/>
        </w:rPr>
        <w:t xml:space="preserve">Flachdächer sowie Pultdächer zulässig. Bei Pultdächern und Satteldächer darf </w:t>
      </w:r>
      <w:r w:rsidR="007358B1" w:rsidRPr="004C0DE3">
        <w:rPr>
          <w:rFonts w:cs="Arial"/>
          <w:color w:val="000000"/>
          <w:szCs w:val="22"/>
          <w:highlight w:val="yellow"/>
        </w:rPr>
        <w:t xml:space="preserve">Dachneigung </w:t>
      </w:r>
      <w:r w:rsidR="00037029" w:rsidRPr="004C0DE3">
        <w:rPr>
          <w:rFonts w:cs="Arial"/>
          <w:color w:val="000000"/>
          <w:szCs w:val="22"/>
          <w:highlight w:val="yellow"/>
        </w:rPr>
        <w:t xml:space="preserve">zwischen </w:t>
      </w:r>
      <w:r w:rsidR="007358B1" w:rsidRPr="004C0DE3">
        <w:rPr>
          <w:rFonts w:cs="Arial"/>
          <w:color w:val="000000"/>
          <w:szCs w:val="22"/>
          <w:highlight w:val="yellow"/>
        </w:rPr>
        <w:t xml:space="preserve">12-45° </w:t>
      </w:r>
      <w:r w:rsidR="00037029" w:rsidRPr="004C0DE3">
        <w:rPr>
          <w:rFonts w:cs="Arial"/>
          <w:color w:val="000000"/>
          <w:szCs w:val="22"/>
          <w:highlight w:val="yellow"/>
        </w:rPr>
        <w:t>betragen</w:t>
      </w:r>
      <w:r w:rsidR="007358B1" w:rsidRPr="004C0DE3">
        <w:rPr>
          <w:rFonts w:cs="Arial"/>
          <w:color w:val="000000"/>
          <w:szCs w:val="22"/>
          <w:highlight w:val="yellow"/>
        </w:rPr>
        <w:t>.</w:t>
      </w:r>
      <w:r w:rsidR="007358B1" w:rsidRPr="004C0DE3">
        <w:rPr>
          <w:rFonts w:cs="Arial"/>
          <w:color w:val="000000"/>
          <w:szCs w:val="22"/>
        </w:rPr>
        <w:t xml:space="preserve"> Tonnendächer sind nicht zulässig. Nebengebäude, Garagen und Carports können auch mit extensiv begrünten Flachdächern ausgeführt werden. Dachgauben mit einer Höhe von max. 1,80 m und Öffnungen im Dach sind zu</w:t>
      </w:r>
      <w:r w:rsidR="007F04DA" w:rsidRPr="004C0DE3">
        <w:rPr>
          <w:rFonts w:cs="Arial"/>
          <w:color w:val="000000"/>
          <w:szCs w:val="22"/>
        </w:rPr>
        <w:t>l</w:t>
      </w:r>
      <w:r w:rsidR="007358B1" w:rsidRPr="004C0DE3">
        <w:rPr>
          <w:rFonts w:cs="Arial"/>
          <w:color w:val="000000"/>
          <w:szCs w:val="22"/>
        </w:rPr>
        <w:t>ässig mit mind. 1,00 m Abstand zu den Giebelseiten.</w:t>
      </w:r>
      <w:r w:rsidR="007358B1" w:rsidRPr="004C0DE3">
        <w:rPr>
          <w:rFonts w:cs="Arial"/>
          <w:color w:val="000000"/>
          <w:szCs w:val="22"/>
        </w:rPr>
        <w:br/>
      </w:r>
    </w:p>
    <w:p w:rsidR="007F04DA" w:rsidRPr="004C0DE3" w:rsidRDefault="00B81BCF" w:rsidP="007F04DA">
      <w:pPr>
        <w:pStyle w:val="Kopfzeile"/>
        <w:numPr>
          <w:ilvl w:val="2"/>
          <w:numId w:val="2"/>
        </w:numPr>
        <w:rPr>
          <w:rFonts w:cs="Arial"/>
          <w:color w:val="000000"/>
          <w:szCs w:val="22"/>
        </w:rPr>
      </w:pPr>
      <w:r w:rsidRPr="004C0DE3">
        <w:rPr>
          <w:rFonts w:cs="Arial"/>
          <w:b/>
          <w:bCs/>
          <w:color w:val="000000"/>
          <w:szCs w:val="22"/>
        </w:rPr>
        <w:t>Dacheindeckung</w:t>
      </w:r>
      <w:r w:rsidR="002169B2" w:rsidRPr="004C0DE3">
        <w:rPr>
          <w:rFonts w:cs="Arial"/>
          <w:b/>
          <w:bCs/>
          <w:color w:val="000000"/>
          <w:szCs w:val="22"/>
        </w:rPr>
        <w:t xml:space="preserve"> / </w:t>
      </w:r>
      <w:proofErr w:type="gramStart"/>
      <w:r w:rsidR="002169B2" w:rsidRPr="004C0DE3">
        <w:rPr>
          <w:rFonts w:cs="Arial"/>
          <w:b/>
          <w:bCs/>
          <w:color w:val="000000"/>
          <w:szCs w:val="22"/>
        </w:rPr>
        <w:t xml:space="preserve">Fassadengestaltung </w:t>
      </w:r>
      <w:r w:rsidRPr="004C0DE3">
        <w:rPr>
          <w:rFonts w:cs="Arial"/>
          <w:b/>
          <w:bCs/>
          <w:color w:val="000000"/>
          <w:szCs w:val="22"/>
        </w:rPr>
        <w:t xml:space="preserve"> </w:t>
      </w:r>
      <w:r w:rsidRPr="004C0DE3">
        <w:rPr>
          <w:rFonts w:cs="Arial"/>
          <w:bCs/>
          <w:color w:val="000000"/>
          <w:szCs w:val="22"/>
        </w:rPr>
        <w:t>(</w:t>
      </w:r>
      <w:proofErr w:type="gramEnd"/>
      <w:r w:rsidRPr="004C0DE3">
        <w:rPr>
          <w:rFonts w:cs="Arial"/>
          <w:bCs/>
          <w:color w:val="000000"/>
          <w:szCs w:val="22"/>
        </w:rPr>
        <w:t>§ 74 Abs. 1 Nr. 1 LBO)</w:t>
      </w:r>
      <w:r w:rsidRPr="004C0DE3">
        <w:rPr>
          <w:rFonts w:cs="Arial"/>
          <w:b/>
          <w:bCs/>
          <w:color w:val="000000"/>
          <w:szCs w:val="22"/>
        </w:rPr>
        <w:br/>
      </w:r>
      <w:r w:rsidR="007358B1" w:rsidRPr="004C0DE3">
        <w:rPr>
          <w:rFonts w:cs="Arial"/>
          <w:color w:val="000000"/>
          <w:szCs w:val="22"/>
        </w:rPr>
        <w:t xml:space="preserve">Die Dacheindeckung hat mit Dachplatten oder Dachsteinen in den Farben rot bis rotbraun, schwarz oder anthrazit zu erfolgen. Dies gilt nicht für Nebengebäude mit </w:t>
      </w:r>
      <w:r w:rsidR="007358B1" w:rsidRPr="004C0DE3">
        <w:rPr>
          <w:rFonts w:cs="Arial"/>
          <w:color w:val="000000"/>
          <w:szCs w:val="22"/>
        </w:rPr>
        <w:lastRenderedPageBreak/>
        <w:t xml:space="preserve">Flachdach. Blanke bzw. unbeschichtete Metalle dürfen weder als Dachdeckung noch als Fassadenverkleidung verwendet werden. </w:t>
      </w:r>
      <w:r w:rsidR="007F04DA" w:rsidRPr="004C0DE3">
        <w:rPr>
          <w:rFonts w:cs="Arial"/>
          <w:color w:val="000000"/>
          <w:szCs w:val="22"/>
        </w:rPr>
        <w:br/>
      </w:r>
    </w:p>
    <w:p w:rsidR="00B81BCF" w:rsidRPr="004C0DE3" w:rsidRDefault="002169B2" w:rsidP="00B81BCF">
      <w:pPr>
        <w:pStyle w:val="Kopfzeile"/>
        <w:numPr>
          <w:ilvl w:val="2"/>
          <w:numId w:val="2"/>
        </w:numPr>
        <w:rPr>
          <w:rFonts w:cs="Arial"/>
          <w:color w:val="000000"/>
          <w:szCs w:val="22"/>
        </w:rPr>
      </w:pPr>
      <w:r w:rsidRPr="004C0DE3">
        <w:rPr>
          <w:rFonts w:cs="Arial"/>
          <w:b/>
          <w:bCs/>
          <w:color w:val="000000"/>
          <w:szCs w:val="22"/>
        </w:rPr>
        <w:t xml:space="preserve">Aufschüttungen und Abgrabungen </w:t>
      </w:r>
      <w:r w:rsidRPr="004C0DE3">
        <w:rPr>
          <w:rFonts w:cs="Arial"/>
          <w:bCs/>
          <w:color w:val="000000"/>
          <w:szCs w:val="22"/>
        </w:rPr>
        <w:t>(§ 74 Abs. 1 Nr. 1 LBO)</w:t>
      </w:r>
      <w:r w:rsidR="00B81BCF" w:rsidRPr="004C0DE3">
        <w:rPr>
          <w:rFonts w:cs="Arial"/>
          <w:b/>
          <w:bCs/>
          <w:color w:val="000000"/>
          <w:szCs w:val="22"/>
        </w:rPr>
        <w:br/>
      </w:r>
      <w:r w:rsidRPr="004C0DE3">
        <w:rPr>
          <w:rFonts w:cs="Arial"/>
          <w:color w:val="000000"/>
          <w:szCs w:val="22"/>
        </w:rPr>
        <w:t>Diese sind bis zu einer Höhe von jeweils 1</w:t>
      </w:r>
      <w:r w:rsidR="007358B1" w:rsidRPr="004C0DE3">
        <w:rPr>
          <w:rFonts w:cs="Arial"/>
          <w:color w:val="000000"/>
          <w:szCs w:val="22"/>
        </w:rPr>
        <w:t>,5</w:t>
      </w:r>
      <w:r w:rsidRPr="004C0DE3">
        <w:rPr>
          <w:rFonts w:cs="Arial"/>
          <w:color w:val="000000"/>
          <w:szCs w:val="22"/>
        </w:rPr>
        <w:t xml:space="preserve"> m gegenüber dem bestehenden Gelände zulässig. Dabei ist zu beachten, dass das anfallende Niederschlagswasser aus dem Grundstück nicht auf das Nachbargrundstück geleitet wird. </w:t>
      </w:r>
      <w:r w:rsidR="00B81BCF" w:rsidRPr="004C0DE3">
        <w:rPr>
          <w:rFonts w:cs="Arial"/>
          <w:color w:val="000000"/>
          <w:szCs w:val="22"/>
        </w:rPr>
        <w:br/>
      </w:r>
    </w:p>
    <w:p w:rsidR="002169B2" w:rsidRPr="004C0DE3" w:rsidRDefault="002169B2" w:rsidP="00B81BCF">
      <w:pPr>
        <w:pStyle w:val="Kopfzeile"/>
        <w:numPr>
          <w:ilvl w:val="2"/>
          <w:numId w:val="2"/>
        </w:numPr>
        <w:rPr>
          <w:rFonts w:cs="Arial"/>
          <w:color w:val="000000"/>
          <w:szCs w:val="22"/>
        </w:rPr>
      </w:pPr>
      <w:r w:rsidRPr="004C0DE3">
        <w:rPr>
          <w:rFonts w:cs="Arial"/>
          <w:b/>
          <w:bCs/>
          <w:color w:val="000000"/>
          <w:szCs w:val="22"/>
        </w:rPr>
        <w:t xml:space="preserve">Stützmauern </w:t>
      </w:r>
      <w:r w:rsidRPr="004C0DE3">
        <w:rPr>
          <w:rFonts w:cs="Arial"/>
          <w:bCs/>
          <w:color w:val="000000"/>
          <w:szCs w:val="22"/>
        </w:rPr>
        <w:t>(§ 74 Abs. 1 Nr. 1 LBO)</w:t>
      </w:r>
      <w:r w:rsidR="00B81BCF" w:rsidRPr="004C0DE3">
        <w:rPr>
          <w:rFonts w:cs="Arial"/>
          <w:b/>
          <w:bCs/>
          <w:color w:val="000000"/>
          <w:szCs w:val="22"/>
        </w:rPr>
        <w:br/>
      </w:r>
      <w:r w:rsidRPr="004C0DE3">
        <w:rPr>
          <w:rFonts w:cs="Arial"/>
          <w:color w:val="000000"/>
          <w:szCs w:val="22"/>
        </w:rPr>
        <w:t>Stützmauern sind bis zu einer Höhe von 1 m zulässig.</w:t>
      </w:r>
    </w:p>
    <w:p w:rsidR="00D159BC" w:rsidRPr="004C0DE3" w:rsidRDefault="002169B2" w:rsidP="002169B2">
      <w:pPr>
        <w:pStyle w:val="Kopfzeile"/>
        <w:ind w:left="567"/>
        <w:rPr>
          <w:rFonts w:cs="Arial"/>
          <w:color w:val="000000"/>
          <w:szCs w:val="22"/>
        </w:rPr>
      </w:pPr>
      <w:r w:rsidRPr="004C0DE3">
        <w:rPr>
          <w:rFonts w:cs="Arial"/>
          <w:color w:val="000000"/>
          <w:szCs w:val="22"/>
        </w:rPr>
        <w:t>Sie sind zu begrünen (z. B. heimische Hecken, Rankgewächse, Hängepflanzen</w:t>
      </w:r>
      <w:r w:rsidR="00D159BC" w:rsidRPr="004C0DE3">
        <w:rPr>
          <w:rFonts w:cs="Arial"/>
          <w:color w:val="000000"/>
          <w:szCs w:val="22"/>
        </w:rPr>
        <w:t xml:space="preserve"> usw.)</w:t>
      </w:r>
    </w:p>
    <w:p w:rsidR="00B81BCF" w:rsidRPr="004C0DE3" w:rsidRDefault="00D159BC" w:rsidP="002169B2">
      <w:pPr>
        <w:pStyle w:val="Kopfzeile"/>
        <w:ind w:left="567"/>
        <w:rPr>
          <w:rFonts w:cs="Arial"/>
          <w:color w:val="000000"/>
          <w:szCs w:val="22"/>
        </w:rPr>
      </w:pPr>
      <w:r w:rsidRPr="004C0DE3">
        <w:rPr>
          <w:rFonts w:cs="Arial"/>
          <w:color w:val="000000"/>
          <w:szCs w:val="22"/>
        </w:rPr>
        <w:t xml:space="preserve">und müssen zu </w:t>
      </w:r>
      <w:r w:rsidR="007358B1" w:rsidRPr="004C0DE3">
        <w:rPr>
          <w:rFonts w:cs="Arial"/>
          <w:color w:val="000000"/>
          <w:szCs w:val="22"/>
        </w:rPr>
        <w:t>öffentlichen F</w:t>
      </w:r>
      <w:r w:rsidRPr="004C0DE3">
        <w:rPr>
          <w:rFonts w:cs="Arial"/>
          <w:color w:val="000000"/>
          <w:szCs w:val="22"/>
        </w:rPr>
        <w:t xml:space="preserve">lächen einen Abstand von mindestens </w:t>
      </w:r>
      <w:r w:rsidR="007358B1" w:rsidRPr="004C0DE3">
        <w:rPr>
          <w:rFonts w:cs="Arial"/>
          <w:color w:val="000000"/>
          <w:szCs w:val="22"/>
        </w:rPr>
        <w:t>1,0</w:t>
      </w:r>
      <w:r w:rsidRPr="004C0DE3">
        <w:rPr>
          <w:rFonts w:cs="Arial"/>
          <w:color w:val="000000"/>
          <w:szCs w:val="22"/>
        </w:rPr>
        <w:t xml:space="preserve"> m einhalten. </w:t>
      </w:r>
      <w:r w:rsidR="00B81BCF" w:rsidRPr="004C0DE3">
        <w:rPr>
          <w:rFonts w:cs="Arial"/>
          <w:color w:val="000000"/>
          <w:szCs w:val="22"/>
        </w:rPr>
        <w:br/>
      </w:r>
    </w:p>
    <w:p w:rsidR="007358B1" w:rsidRPr="004C0DE3" w:rsidRDefault="00D159BC" w:rsidP="007358B1">
      <w:pPr>
        <w:pStyle w:val="Kopfzeile"/>
        <w:numPr>
          <w:ilvl w:val="2"/>
          <w:numId w:val="2"/>
        </w:numPr>
        <w:rPr>
          <w:rFonts w:cs="Arial"/>
          <w:color w:val="000000"/>
          <w:szCs w:val="22"/>
        </w:rPr>
      </w:pPr>
      <w:r w:rsidRPr="004C0DE3">
        <w:rPr>
          <w:rFonts w:cs="Arial"/>
          <w:b/>
          <w:bCs/>
          <w:color w:val="000000"/>
          <w:szCs w:val="22"/>
        </w:rPr>
        <w:t>Einfriedigungen (</w:t>
      </w:r>
      <w:r w:rsidRPr="004C0DE3">
        <w:rPr>
          <w:rFonts w:cs="Arial"/>
          <w:bCs/>
          <w:color w:val="000000"/>
          <w:szCs w:val="22"/>
        </w:rPr>
        <w:t>(§ 74 Abs. 1 Nr. 3 LBO)</w:t>
      </w:r>
      <w:r w:rsidR="00B81BCF" w:rsidRPr="004C0DE3">
        <w:rPr>
          <w:rFonts w:cs="Arial"/>
          <w:b/>
          <w:bCs/>
          <w:color w:val="000000"/>
          <w:szCs w:val="22"/>
        </w:rPr>
        <w:br/>
      </w:r>
      <w:r w:rsidR="007F04DA" w:rsidRPr="004C0DE3">
        <w:rPr>
          <w:rFonts w:cs="Arial"/>
          <w:color w:val="000000"/>
          <w:szCs w:val="22"/>
        </w:rPr>
        <w:t xml:space="preserve">der </w:t>
      </w:r>
      <w:r w:rsidR="007358B1" w:rsidRPr="004C0DE3">
        <w:rPr>
          <w:rFonts w:cs="Arial"/>
          <w:color w:val="000000"/>
          <w:szCs w:val="22"/>
        </w:rPr>
        <w:t xml:space="preserve">Grundstücke an öffentlichen Flächen dürfen max. 1,50 m hoch sein. Künstliche Einfriedigungen sind nur zulässig mit einem Abstand von mind. 1,00 m zur Grenze der öffentlichen Fläche. Der Bereich zwischen öffentlicher Fläche und Einfriedigung ist mit heimischen Laubsträuchern zu bepflanzen. </w:t>
      </w:r>
      <w:r w:rsidR="007358B1" w:rsidRPr="004C0DE3">
        <w:rPr>
          <w:rFonts w:cs="Arial"/>
          <w:color w:val="000000"/>
          <w:szCs w:val="22"/>
        </w:rPr>
        <w:br/>
      </w:r>
    </w:p>
    <w:p w:rsidR="00B81BCF" w:rsidRPr="004C0DE3" w:rsidRDefault="002924A2" w:rsidP="002924A2">
      <w:pPr>
        <w:pStyle w:val="Kopfzeile"/>
        <w:numPr>
          <w:ilvl w:val="2"/>
          <w:numId w:val="2"/>
        </w:numPr>
        <w:rPr>
          <w:rFonts w:cs="Arial"/>
          <w:bCs/>
          <w:color w:val="000000"/>
          <w:szCs w:val="22"/>
        </w:rPr>
      </w:pPr>
      <w:r w:rsidRPr="004C0DE3">
        <w:rPr>
          <w:rFonts w:cs="Arial"/>
          <w:b/>
          <w:bCs/>
          <w:color w:val="000000"/>
          <w:szCs w:val="22"/>
        </w:rPr>
        <w:t xml:space="preserve">Befestigte Flächen </w:t>
      </w:r>
      <w:r w:rsidRPr="004C0DE3">
        <w:rPr>
          <w:rFonts w:cs="Arial"/>
          <w:bCs/>
          <w:color w:val="000000"/>
          <w:szCs w:val="22"/>
        </w:rPr>
        <w:t>(§ 74 Abs. 1 Nr. 3 LBO)</w:t>
      </w:r>
      <w:r w:rsidR="00B81BCF" w:rsidRPr="004C0DE3">
        <w:rPr>
          <w:rFonts w:cs="Arial"/>
          <w:b/>
          <w:bCs/>
          <w:color w:val="000000"/>
          <w:szCs w:val="22"/>
        </w:rPr>
        <w:br/>
      </w:r>
      <w:r w:rsidRPr="004C0DE3">
        <w:rPr>
          <w:rFonts w:cs="Arial"/>
          <w:color w:val="000000"/>
          <w:szCs w:val="22"/>
        </w:rPr>
        <w:t>Nichtüberdachte Stellplätze sowie Grundstücks- und Garagenzufahrten sind wasser-durchlässig zu befestigen.</w:t>
      </w:r>
      <w:r w:rsidR="001A5F08" w:rsidRPr="004C0DE3">
        <w:rPr>
          <w:rFonts w:cs="Arial"/>
          <w:color w:val="000000"/>
          <w:szCs w:val="22"/>
        </w:rPr>
        <w:t xml:space="preserve"> </w:t>
      </w:r>
      <w:r w:rsidR="001A5F08" w:rsidRPr="004C0DE3">
        <w:rPr>
          <w:rFonts w:cs="Arial"/>
          <w:color w:val="000000"/>
          <w:szCs w:val="22"/>
        </w:rPr>
        <w:br/>
        <w:t xml:space="preserve">Die nicht überbauten Teile der Grundstücke sind zu humusieren und gärtnerisch mit Grün- und Blühpflanzen zu bepflanzen. Lose Material- und Steinschüttungen sind zur Gartengestaltung nicht zulässig. </w:t>
      </w:r>
    </w:p>
    <w:p w:rsidR="002924A2" w:rsidRPr="004C0DE3" w:rsidRDefault="002924A2" w:rsidP="007358B1">
      <w:pPr>
        <w:pStyle w:val="Kopfzeile"/>
        <w:rPr>
          <w:rFonts w:cs="Arial"/>
          <w:bCs/>
          <w:color w:val="000000"/>
          <w:szCs w:val="22"/>
        </w:rPr>
      </w:pPr>
    </w:p>
    <w:p w:rsidR="00B81BCF" w:rsidRPr="004C0DE3" w:rsidRDefault="002924A2" w:rsidP="00B81BCF">
      <w:pPr>
        <w:pStyle w:val="Kopfzeile"/>
        <w:numPr>
          <w:ilvl w:val="2"/>
          <w:numId w:val="2"/>
        </w:numPr>
        <w:rPr>
          <w:rFonts w:cs="Arial"/>
          <w:color w:val="000000"/>
          <w:szCs w:val="22"/>
        </w:rPr>
      </w:pPr>
      <w:r w:rsidRPr="004C0DE3">
        <w:rPr>
          <w:rFonts w:cs="Arial"/>
          <w:b/>
          <w:bCs/>
          <w:color w:val="000000"/>
          <w:szCs w:val="22"/>
        </w:rPr>
        <w:t xml:space="preserve">Entwässerung </w:t>
      </w:r>
      <w:r w:rsidR="00F51099" w:rsidRPr="004C0DE3">
        <w:rPr>
          <w:rFonts w:cs="Arial"/>
          <w:bCs/>
          <w:color w:val="000000"/>
          <w:szCs w:val="22"/>
        </w:rPr>
        <w:t>(§ 74 Abs. 3 Nr. 2</w:t>
      </w:r>
      <w:r w:rsidRPr="004C0DE3">
        <w:rPr>
          <w:rFonts w:cs="Arial"/>
          <w:bCs/>
          <w:color w:val="000000"/>
          <w:szCs w:val="22"/>
        </w:rPr>
        <w:t xml:space="preserve"> LBO)</w:t>
      </w:r>
      <w:r w:rsidR="00B81BCF" w:rsidRPr="004C0DE3">
        <w:rPr>
          <w:rFonts w:cs="Arial"/>
          <w:b/>
          <w:bCs/>
          <w:color w:val="000000"/>
          <w:szCs w:val="22"/>
        </w:rPr>
        <w:br/>
      </w:r>
      <w:r w:rsidR="007358B1" w:rsidRPr="004C0DE3">
        <w:rPr>
          <w:rFonts w:cs="Arial"/>
          <w:color w:val="000000"/>
          <w:szCs w:val="22"/>
        </w:rPr>
        <w:t xml:space="preserve">Die Entwässerung der Grundstücke und der baulichen Anlagen muss im Trennsystem durchgeführt werden. Dies bedeutet, dass das Dachflächenwasser getrennt vom Schmutzwassersystem zum öffentlichen Regenwasserkanal geführt werden muss. Das Dachflächenwasser kann auch in dichten Zisternen zur Gartenbewässerung oder Brauchwassernutzung gesammelt oder auf dem Grundstück versickert werden. </w:t>
      </w:r>
      <w:r w:rsidR="007358B1" w:rsidRPr="004C0DE3">
        <w:rPr>
          <w:rFonts w:cs="Arial"/>
          <w:color w:val="000000"/>
          <w:szCs w:val="22"/>
        </w:rPr>
        <w:br/>
      </w:r>
    </w:p>
    <w:p w:rsidR="007358B1" w:rsidRPr="004C0DE3" w:rsidRDefault="007358B1" w:rsidP="007358B1">
      <w:pPr>
        <w:pStyle w:val="Listenabsatz"/>
        <w:rPr>
          <w:rFonts w:cs="Arial"/>
          <w:color w:val="000000"/>
          <w:szCs w:val="22"/>
        </w:rPr>
      </w:pPr>
    </w:p>
    <w:p w:rsidR="007358B1" w:rsidRPr="004C0DE3" w:rsidRDefault="007358B1" w:rsidP="00B81BCF">
      <w:pPr>
        <w:pStyle w:val="Kopfzeile"/>
        <w:numPr>
          <w:ilvl w:val="2"/>
          <w:numId w:val="2"/>
        </w:numPr>
        <w:rPr>
          <w:rFonts w:cs="Arial"/>
          <w:color w:val="000000"/>
          <w:szCs w:val="22"/>
        </w:rPr>
      </w:pPr>
      <w:r w:rsidRPr="004C0DE3">
        <w:rPr>
          <w:rFonts w:cs="Arial"/>
          <w:b/>
          <w:color w:val="000000"/>
          <w:szCs w:val="22"/>
        </w:rPr>
        <w:t xml:space="preserve">Ordnungswidrigkeiten </w:t>
      </w:r>
      <w:r w:rsidRPr="004C0DE3">
        <w:rPr>
          <w:rFonts w:cs="Arial"/>
          <w:color w:val="000000"/>
          <w:szCs w:val="22"/>
        </w:rPr>
        <w:t>(§ 75 Abs. 3 Nr. 2 LBO)</w:t>
      </w:r>
      <w:r w:rsidRPr="004C0DE3">
        <w:rPr>
          <w:rFonts w:cs="Arial"/>
          <w:color w:val="000000"/>
          <w:szCs w:val="22"/>
        </w:rPr>
        <w:br/>
        <w:t xml:space="preserve">Ordnungswidrig handelt, wer vorsätzlich oder fahrlässig gegen die Ziff. 1 bis 8 dieser örtlichen Bauvorschriften verstößt. </w:t>
      </w:r>
      <w:r w:rsidRPr="004C0DE3">
        <w:rPr>
          <w:rFonts w:cs="Arial"/>
          <w:color w:val="000000"/>
          <w:szCs w:val="22"/>
        </w:rPr>
        <w:br/>
      </w:r>
    </w:p>
    <w:p w:rsidR="00B81BCF" w:rsidRPr="004C0DE3" w:rsidRDefault="00B81BCF" w:rsidP="00B81BCF">
      <w:pPr>
        <w:pStyle w:val="Kopfzeile"/>
        <w:tabs>
          <w:tab w:val="left" w:pos="708"/>
        </w:tabs>
        <w:rPr>
          <w:rFonts w:cs="Arial"/>
          <w:color w:val="000000"/>
          <w:szCs w:val="22"/>
        </w:rPr>
      </w:pPr>
    </w:p>
    <w:p w:rsidR="00B81BCF" w:rsidRPr="004C0DE3" w:rsidRDefault="00B81BCF" w:rsidP="00B81BCF">
      <w:pPr>
        <w:pStyle w:val="Kopfzeile"/>
        <w:numPr>
          <w:ilvl w:val="3"/>
          <w:numId w:val="2"/>
        </w:numPr>
        <w:rPr>
          <w:rFonts w:cs="Arial"/>
          <w:b/>
          <w:bCs/>
          <w:color w:val="000000"/>
          <w:szCs w:val="22"/>
        </w:rPr>
      </w:pPr>
      <w:r w:rsidRPr="004C0DE3">
        <w:rPr>
          <w:rFonts w:cs="Arial"/>
          <w:b/>
          <w:bCs/>
          <w:color w:val="000000"/>
          <w:szCs w:val="22"/>
        </w:rPr>
        <w:t>Hinweise</w:t>
      </w:r>
    </w:p>
    <w:p w:rsidR="00B81BCF" w:rsidRPr="004C0DE3" w:rsidRDefault="00B81BCF" w:rsidP="00B81BCF">
      <w:pPr>
        <w:pStyle w:val="Kopfzeile"/>
        <w:tabs>
          <w:tab w:val="left" w:pos="708"/>
        </w:tabs>
        <w:rPr>
          <w:rFonts w:cs="Arial"/>
          <w:color w:val="000000"/>
          <w:szCs w:val="22"/>
        </w:rPr>
      </w:pPr>
    </w:p>
    <w:p w:rsidR="00EF62C9" w:rsidRPr="004C0DE3" w:rsidRDefault="00EF5790" w:rsidP="00B81BCF">
      <w:pPr>
        <w:pStyle w:val="Kopfzeile"/>
        <w:numPr>
          <w:ilvl w:val="4"/>
          <w:numId w:val="2"/>
        </w:numPr>
        <w:rPr>
          <w:rFonts w:cs="Arial"/>
          <w:b/>
          <w:color w:val="000000"/>
          <w:szCs w:val="22"/>
        </w:rPr>
      </w:pPr>
      <w:r w:rsidRPr="004C0DE3">
        <w:rPr>
          <w:rFonts w:cs="Arial"/>
          <w:b/>
          <w:color w:val="000000"/>
          <w:szCs w:val="22"/>
        </w:rPr>
        <w:t>Grundwasserschutz</w:t>
      </w:r>
    </w:p>
    <w:p w:rsidR="00EF5790" w:rsidRPr="004C0DE3" w:rsidRDefault="00EF5790" w:rsidP="00EF5790">
      <w:pPr>
        <w:pStyle w:val="Kopfzeile"/>
        <w:ind w:left="567"/>
        <w:rPr>
          <w:rFonts w:cs="Arial"/>
          <w:color w:val="000000"/>
          <w:szCs w:val="22"/>
        </w:rPr>
      </w:pPr>
      <w:r w:rsidRPr="004C0DE3">
        <w:rPr>
          <w:rFonts w:cs="Arial"/>
          <w:color w:val="000000"/>
          <w:szCs w:val="22"/>
        </w:rPr>
        <w:t>Das Plangebiet liegt in der Zon</w:t>
      </w:r>
      <w:r w:rsidR="00B0132D" w:rsidRPr="004C0DE3">
        <w:rPr>
          <w:rFonts w:cs="Arial"/>
          <w:color w:val="000000"/>
          <w:szCs w:val="22"/>
        </w:rPr>
        <w:t>e III des Wasserschutzgebietes „</w:t>
      </w:r>
      <w:r w:rsidRPr="004C0DE3">
        <w:rPr>
          <w:rFonts w:cs="Arial"/>
          <w:color w:val="000000"/>
          <w:szCs w:val="22"/>
        </w:rPr>
        <w:t>Donau-Hürbe</w:t>
      </w:r>
      <w:r w:rsidR="00755A9A" w:rsidRPr="004C0DE3">
        <w:rPr>
          <w:rFonts w:cs="Arial"/>
          <w:color w:val="000000"/>
          <w:szCs w:val="22"/>
        </w:rPr>
        <w:t>“ vom 16.04.2018</w:t>
      </w:r>
      <w:r w:rsidRPr="004C0DE3">
        <w:rPr>
          <w:rFonts w:cs="Arial"/>
          <w:color w:val="000000"/>
          <w:szCs w:val="22"/>
        </w:rPr>
        <w:t>. E</w:t>
      </w:r>
      <w:r w:rsidR="00023C3F" w:rsidRPr="004C0DE3">
        <w:rPr>
          <w:rFonts w:cs="Arial"/>
          <w:color w:val="000000"/>
          <w:szCs w:val="22"/>
        </w:rPr>
        <w:t>r</w:t>
      </w:r>
      <w:r w:rsidRPr="004C0DE3">
        <w:rPr>
          <w:rFonts w:cs="Arial"/>
          <w:color w:val="000000"/>
          <w:szCs w:val="22"/>
        </w:rPr>
        <w:t>dwärmesonden</w:t>
      </w:r>
      <w:r w:rsidR="00C15F18" w:rsidRPr="004C0DE3">
        <w:rPr>
          <w:rFonts w:cs="Arial"/>
          <w:color w:val="000000"/>
          <w:szCs w:val="22"/>
        </w:rPr>
        <w:t xml:space="preserve"> sind deshalb beim Landratsamt Alb-Donau-Kreis anzuzeigen. Für den Betrieb der Erdwärmesonde ist zudem eine wasserrechtliche Erlaubnis erforderlich. Auskünfte erteilt der Fachdienst Umwelt- und Arbeitsschutz beim Landratsamt Alb-Donau-Kreis in Ulm. </w:t>
      </w:r>
    </w:p>
    <w:p w:rsidR="00C15F18" w:rsidRPr="004C0DE3" w:rsidRDefault="00C15F18" w:rsidP="00EF5790">
      <w:pPr>
        <w:pStyle w:val="Kopfzeile"/>
        <w:ind w:left="567"/>
        <w:rPr>
          <w:rFonts w:cs="Arial"/>
          <w:color w:val="000000"/>
          <w:szCs w:val="22"/>
        </w:rPr>
      </w:pPr>
    </w:p>
    <w:p w:rsidR="00EF5790" w:rsidRPr="004C0DE3" w:rsidRDefault="00EF5790" w:rsidP="00B81BCF">
      <w:pPr>
        <w:pStyle w:val="Kopfzeile"/>
        <w:numPr>
          <w:ilvl w:val="4"/>
          <w:numId w:val="2"/>
        </w:numPr>
        <w:rPr>
          <w:rFonts w:cs="Arial"/>
          <w:b/>
          <w:color w:val="000000"/>
          <w:szCs w:val="22"/>
        </w:rPr>
      </w:pPr>
      <w:r w:rsidRPr="004C0DE3">
        <w:rPr>
          <w:rFonts w:cs="Arial"/>
          <w:b/>
          <w:color w:val="000000"/>
          <w:szCs w:val="22"/>
        </w:rPr>
        <w:t>Drainagewasser</w:t>
      </w:r>
    </w:p>
    <w:p w:rsidR="00EF5790" w:rsidRPr="004C0DE3" w:rsidRDefault="00EF5790" w:rsidP="00EF5790">
      <w:pPr>
        <w:pStyle w:val="Kopfzeile"/>
        <w:ind w:left="567"/>
        <w:rPr>
          <w:rFonts w:cs="Arial"/>
          <w:color w:val="000000"/>
          <w:szCs w:val="22"/>
        </w:rPr>
      </w:pPr>
      <w:r w:rsidRPr="004C0DE3">
        <w:rPr>
          <w:rFonts w:cs="Arial"/>
          <w:color w:val="000000"/>
          <w:szCs w:val="22"/>
        </w:rPr>
        <w:t>Drainagewasser darf weder an den Schmutz</w:t>
      </w:r>
      <w:proofErr w:type="gramStart"/>
      <w:r w:rsidR="00A85685" w:rsidRPr="004C0DE3">
        <w:rPr>
          <w:rFonts w:cs="Arial"/>
          <w:color w:val="000000"/>
          <w:szCs w:val="22"/>
        </w:rPr>
        <w:t>-  noch</w:t>
      </w:r>
      <w:proofErr w:type="gramEnd"/>
      <w:r w:rsidR="00A85685" w:rsidRPr="004C0DE3">
        <w:rPr>
          <w:rFonts w:cs="Arial"/>
          <w:color w:val="000000"/>
          <w:szCs w:val="22"/>
        </w:rPr>
        <w:t xml:space="preserve"> an den </w:t>
      </w:r>
      <w:r w:rsidR="00B0132D" w:rsidRPr="004C0DE3">
        <w:rPr>
          <w:rFonts w:cs="Arial"/>
          <w:color w:val="000000"/>
          <w:szCs w:val="22"/>
        </w:rPr>
        <w:t>Regen</w:t>
      </w:r>
      <w:r w:rsidRPr="004C0DE3">
        <w:rPr>
          <w:rFonts w:cs="Arial"/>
          <w:color w:val="000000"/>
          <w:szCs w:val="22"/>
        </w:rPr>
        <w:t xml:space="preserve">wasserkanal angeschlossen werden. Es kann über Schotterpackungen zur Versickerung gebracht werden. </w:t>
      </w:r>
    </w:p>
    <w:p w:rsidR="00930DE1" w:rsidRPr="004C0DE3" w:rsidRDefault="00930DE1" w:rsidP="00EF5790">
      <w:pPr>
        <w:pStyle w:val="Kopfzeile"/>
        <w:ind w:left="567"/>
        <w:rPr>
          <w:rFonts w:cs="Arial"/>
          <w:color w:val="000000"/>
          <w:szCs w:val="22"/>
        </w:rPr>
      </w:pPr>
    </w:p>
    <w:p w:rsidR="00C15F18" w:rsidRPr="004C0DE3" w:rsidRDefault="00C15F18" w:rsidP="00C15F18">
      <w:pPr>
        <w:pStyle w:val="Kopfzeile"/>
        <w:rPr>
          <w:rFonts w:cs="Arial"/>
          <w:color w:val="000000"/>
          <w:szCs w:val="22"/>
        </w:rPr>
      </w:pPr>
    </w:p>
    <w:p w:rsidR="00C15F18" w:rsidRPr="004C0DE3" w:rsidRDefault="00B81BCF" w:rsidP="00930DE1">
      <w:pPr>
        <w:pStyle w:val="Kopfzeile"/>
        <w:numPr>
          <w:ilvl w:val="4"/>
          <w:numId w:val="2"/>
        </w:numPr>
        <w:rPr>
          <w:rFonts w:cs="Arial"/>
          <w:color w:val="000000"/>
          <w:szCs w:val="22"/>
        </w:rPr>
      </w:pPr>
      <w:r w:rsidRPr="004C0DE3">
        <w:rPr>
          <w:rFonts w:cs="Arial"/>
          <w:b/>
          <w:color w:val="000000"/>
          <w:szCs w:val="22"/>
        </w:rPr>
        <w:lastRenderedPageBreak/>
        <w:t>Denkmalschutz</w:t>
      </w:r>
      <w:r w:rsidR="00B0132D" w:rsidRPr="004C0DE3">
        <w:rPr>
          <w:rFonts w:cs="Arial"/>
          <w:b/>
          <w:color w:val="000000"/>
          <w:szCs w:val="22"/>
        </w:rPr>
        <w:br/>
      </w:r>
      <w:r w:rsidR="00B0132D" w:rsidRPr="004C0DE3">
        <w:rPr>
          <w:rFonts w:cs="Arial"/>
          <w:color w:val="000000"/>
          <w:szCs w:val="22"/>
        </w:rPr>
        <w:t xml:space="preserve">Sollten bei Erdarbeiten Funde </w:t>
      </w:r>
      <w:proofErr w:type="gramStart"/>
      <w:r w:rsidR="00B0132D" w:rsidRPr="004C0DE3">
        <w:rPr>
          <w:rFonts w:cs="Arial"/>
          <w:color w:val="000000"/>
          <w:szCs w:val="22"/>
        </w:rPr>
        <w:t>( z.B.</w:t>
      </w:r>
      <w:proofErr w:type="gramEnd"/>
      <w:r w:rsidR="00B0132D" w:rsidRPr="004C0DE3">
        <w:rPr>
          <w:rFonts w:cs="Arial"/>
          <w:color w:val="000000"/>
          <w:szCs w:val="22"/>
        </w:rPr>
        <w:t xml:space="preserve"> Scherben, Knochen, Metallteile) oder Befunde (z.B. Mauern, Gräber, Gruben, Brandschichten) entdeckt werden, ist das Landesamt für Denkmalpflege beim Regierungspräsidium Stuttgart </w:t>
      </w:r>
      <w:r w:rsidR="00930DE1" w:rsidRPr="004C0DE3">
        <w:rPr>
          <w:rFonts w:cs="Arial"/>
          <w:color w:val="000000"/>
          <w:szCs w:val="22"/>
        </w:rPr>
        <w:t xml:space="preserve">oder die Gemeinde </w:t>
      </w:r>
      <w:r w:rsidR="00B0132D" w:rsidRPr="004C0DE3">
        <w:rPr>
          <w:rFonts w:cs="Arial"/>
          <w:color w:val="000000"/>
          <w:szCs w:val="22"/>
        </w:rPr>
        <w:t>unverzüglich zu benachrichtigen. Fund und Fundstelle sind bis zur sachgerechten Begutachtung, mindestens bis zum Ablauf des 4. Werktags nach der Anzeige, unverändert im Boden zu belassen. Die Möglichkeit zur Fundbergung und fachgerechten Dokumentation ist einzuräumen (§ 20 DSchG).</w:t>
      </w:r>
      <w:r w:rsidR="00AF7B65" w:rsidRPr="004C0DE3">
        <w:rPr>
          <w:rFonts w:cs="Arial"/>
          <w:color w:val="000000"/>
          <w:szCs w:val="22"/>
        </w:rPr>
        <w:t xml:space="preserve"> Ggf. ist zumindest mit kurzfristigen Unterbrechungen des Bauablaufs zu rechnen, Verstöße können als Ordnungswidrigkeit gem. § 27 DSchG geahndet werden. </w:t>
      </w:r>
      <w:r w:rsidR="00B0132D" w:rsidRPr="004C0DE3">
        <w:rPr>
          <w:rFonts w:cs="Arial"/>
          <w:color w:val="000000"/>
          <w:szCs w:val="22"/>
        </w:rPr>
        <w:br/>
      </w:r>
    </w:p>
    <w:p w:rsidR="0095439F" w:rsidRPr="004C0DE3" w:rsidRDefault="00C15F18" w:rsidP="00B0132D">
      <w:pPr>
        <w:pStyle w:val="Kopfzeile"/>
        <w:numPr>
          <w:ilvl w:val="4"/>
          <w:numId w:val="2"/>
        </w:numPr>
        <w:rPr>
          <w:rFonts w:cs="Arial"/>
          <w:color w:val="000000"/>
          <w:szCs w:val="22"/>
        </w:rPr>
      </w:pPr>
      <w:r w:rsidRPr="004C0DE3">
        <w:rPr>
          <w:rFonts w:cs="Arial"/>
          <w:b/>
          <w:color w:val="000000"/>
          <w:szCs w:val="22"/>
        </w:rPr>
        <w:t>Bodenschutz</w:t>
      </w:r>
      <w:r w:rsidR="00B81BCF" w:rsidRPr="004C0DE3">
        <w:rPr>
          <w:rFonts w:cs="Arial"/>
          <w:color w:val="000000"/>
          <w:szCs w:val="22"/>
        </w:rPr>
        <w:br/>
      </w:r>
      <w:r w:rsidRPr="004C0DE3">
        <w:rPr>
          <w:rFonts w:cs="Arial"/>
          <w:color w:val="000000"/>
          <w:szCs w:val="22"/>
        </w:rPr>
        <w:t>Im Zuge der Baumaßnahmen ist auf einen sparsamen und schonenden Umgang mit Boden entsprechend den Vorgaben des Bodenschutzgesetzes zu acht</w:t>
      </w:r>
      <w:r w:rsidR="0095439F" w:rsidRPr="004C0DE3">
        <w:rPr>
          <w:rFonts w:cs="Arial"/>
          <w:color w:val="000000"/>
          <w:szCs w:val="22"/>
        </w:rPr>
        <w:t xml:space="preserve">en. Im Plangebiet nicht verwertbarer Boden ist zur Eingriffsminimierung zur Bodenverbesserung einzusetzen. Er ist somit nicht </w:t>
      </w:r>
      <w:r w:rsidR="00B05A6B" w:rsidRPr="004C0DE3">
        <w:rPr>
          <w:rFonts w:cs="Arial"/>
          <w:color w:val="000000"/>
          <w:szCs w:val="22"/>
        </w:rPr>
        <w:t>ö</w:t>
      </w:r>
      <w:r w:rsidR="0095439F" w:rsidRPr="004C0DE3">
        <w:rPr>
          <w:rFonts w:cs="Arial"/>
          <w:color w:val="000000"/>
          <w:szCs w:val="22"/>
        </w:rPr>
        <w:t xml:space="preserve">kokontofähig. </w:t>
      </w:r>
      <w:r w:rsidR="00B81BCF" w:rsidRPr="004C0DE3">
        <w:rPr>
          <w:rFonts w:cs="Arial"/>
          <w:color w:val="000000"/>
          <w:szCs w:val="22"/>
        </w:rPr>
        <w:br/>
      </w:r>
    </w:p>
    <w:p w:rsidR="00B0132D" w:rsidRPr="004C0DE3" w:rsidRDefault="0095439F" w:rsidP="00B0132D">
      <w:pPr>
        <w:pStyle w:val="Kopfzeile"/>
        <w:numPr>
          <w:ilvl w:val="4"/>
          <w:numId w:val="2"/>
        </w:numPr>
        <w:rPr>
          <w:rFonts w:cs="Arial"/>
          <w:color w:val="000000"/>
          <w:szCs w:val="22"/>
        </w:rPr>
      </w:pPr>
      <w:r w:rsidRPr="004C0DE3">
        <w:rPr>
          <w:rFonts w:cs="Arial"/>
          <w:b/>
          <w:color w:val="000000"/>
          <w:szCs w:val="22"/>
        </w:rPr>
        <w:t>Immissionsschutz</w:t>
      </w:r>
      <w:r w:rsidRPr="004C0DE3">
        <w:rPr>
          <w:rFonts w:cs="Arial"/>
          <w:b/>
          <w:color w:val="000000"/>
          <w:szCs w:val="22"/>
        </w:rPr>
        <w:br/>
      </w:r>
      <w:r w:rsidRPr="004C0DE3">
        <w:rPr>
          <w:rFonts w:cs="Arial"/>
          <w:color w:val="000000"/>
          <w:szCs w:val="22"/>
        </w:rPr>
        <w:t>Bei der Aufstellung von stationären Geräten wie Luftwärmepumpen, Klimageräte</w:t>
      </w:r>
      <w:r w:rsidR="00B05A6B" w:rsidRPr="004C0DE3">
        <w:rPr>
          <w:rFonts w:cs="Arial"/>
          <w:color w:val="000000"/>
          <w:szCs w:val="22"/>
        </w:rPr>
        <w:t>n</w:t>
      </w:r>
      <w:r w:rsidRPr="004C0DE3">
        <w:rPr>
          <w:rFonts w:cs="Arial"/>
          <w:color w:val="000000"/>
          <w:szCs w:val="22"/>
        </w:rPr>
        <w:t>, Lüftungsgeräte</w:t>
      </w:r>
      <w:r w:rsidR="00B05A6B" w:rsidRPr="004C0DE3">
        <w:rPr>
          <w:rFonts w:cs="Arial"/>
          <w:color w:val="000000"/>
          <w:szCs w:val="22"/>
        </w:rPr>
        <w:t>n</w:t>
      </w:r>
      <w:r w:rsidRPr="004C0DE3">
        <w:rPr>
          <w:rFonts w:cs="Arial"/>
          <w:color w:val="000000"/>
          <w:szCs w:val="22"/>
        </w:rPr>
        <w:t xml:space="preserve"> u. ä. ist </w:t>
      </w:r>
      <w:r w:rsidR="004A0E02" w:rsidRPr="004C0DE3">
        <w:rPr>
          <w:rFonts w:cs="Arial"/>
          <w:color w:val="000000"/>
          <w:szCs w:val="22"/>
        </w:rPr>
        <w:t>der LAI-</w:t>
      </w:r>
      <w:r w:rsidR="00AF7B65" w:rsidRPr="004C0DE3">
        <w:rPr>
          <w:rFonts w:cs="Arial"/>
          <w:color w:val="000000"/>
          <w:szCs w:val="22"/>
        </w:rPr>
        <w:t xml:space="preserve">Leitfaden für die Verbesserung des Schutzes gegen Lärm bei stationären Geräten zu beachten. </w:t>
      </w:r>
      <w:r w:rsidRPr="004C0DE3">
        <w:rPr>
          <w:rFonts w:cs="Arial"/>
          <w:color w:val="000000"/>
          <w:szCs w:val="22"/>
        </w:rPr>
        <w:t xml:space="preserve"> </w:t>
      </w:r>
      <w:r w:rsidR="00B0132D" w:rsidRPr="004C0DE3">
        <w:rPr>
          <w:rFonts w:cs="Arial"/>
          <w:color w:val="000000"/>
          <w:szCs w:val="22"/>
        </w:rPr>
        <w:br/>
      </w:r>
    </w:p>
    <w:p w:rsidR="00B81BCF" w:rsidRPr="004C0DE3" w:rsidRDefault="00B81BCF" w:rsidP="00B0132D">
      <w:pPr>
        <w:pStyle w:val="Kopfzeile"/>
        <w:numPr>
          <w:ilvl w:val="4"/>
          <w:numId w:val="2"/>
        </w:numPr>
        <w:rPr>
          <w:rFonts w:cs="Arial"/>
          <w:color w:val="000000"/>
          <w:szCs w:val="22"/>
        </w:rPr>
      </w:pPr>
      <w:r w:rsidRPr="004C0DE3">
        <w:rPr>
          <w:rFonts w:cs="Arial"/>
          <w:color w:val="000000"/>
          <w:szCs w:val="22"/>
        </w:rPr>
        <w:t>Mit Inkrafttreten dieses Bebauungsplanes bzw. dieser örtlichen Bauvorschrift treten alle bisher im Geltungsbereich gültigen baurechtlichen Festsetzungen außer Kraft.</w:t>
      </w:r>
    </w:p>
    <w:p w:rsidR="00B81BCF" w:rsidRPr="004C0DE3" w:rsidRDefault="00B81BCF" w:rsidP="00B81BCF">
      <w:pPr>
        <w:pStyle w:val="Kopfzeile"/>
        <w:tabs>
          <w:tab w:val="left" w:pos="708"/>
        </w:tabs>
        <w:rPr>
          <w:rFonts w:cs="Arial"/>
          <w:color w:val="000000"/>
          <w:szCs w:val="22"/>
        </w:rPr>
      </w:pPr>
    </w:p>
    <w:p w:rsidR="00B81BCF" w:rsidRPr="004C0DE3" w:rsidRDefault="00B81BCF" w:rsidP="00B81BCF">
      <w:pPr>
        <w:pStyle w:val="Kopfzeile"/>
        <w:tabs>
          <w:tab w:val="left" w:pos="708"/>
        </w:tabs>
        <w:rPr>
          <w:rFonts w:cs="Arial"/>
          <w:color w:val="000000"/>
          <w:szCs w:val="22"/>
        </w:rPr>
      </w:pPr>
    </w:p>
    <w:p w:rsidR="00B81BCF" w:rsidRPr="004C0DE3" w:rsidRDefault="00B81BCF" w:rsidP="00B81BCF">
      <w:pPr>
        <w:pStyle w:val="Kopfzeile"/>
        <w:tabs>
          <w:tab w:val="left" w:pos="708"/>
        </w:tabs>
        <w:rPr>
          <w:rFonts w:cs="Arial"/>
          <w:color w:val="000000"/>
          <w:szCs w:val="22"/>
        </w:rPr>
      </w:pPr>
      <w:r w:rsidRPr="004C0DE3">
        <w:rPr>
          <w:rFonts w:cs="Arial"/>
          <w:color w:val="000000"/>
          <w:szCs w:val="22"/>
        </w:rPr>
        <w:t>Verwaltungsverband Langenau</w:t>
      </w:r>
    </w:p>
    <w:p w:rsidR="001F07AA" w:rsidRPr="004C0DE3" w:rsidRDefault="001F07AA" w:rsidP="00B81BCF">
      <w:pPr>
        <w:pStyle w:val="Kopfzeile"/>
        <w:tabs>
          <w:tab w:val="left" w:pos="708"/>
        </w:tabs>
        <w:rPr>
          <w:rFonts w:cs="Arial"/>
          <w:color w:val="000000"/>
          <w:szCs w:val="22"/>
        </w:rPr>
      </w:pPr>
    </w:p>
    <w:p w:rsidR="00B81BCF" w:rsidRPr="004C0DE3" w:rsidRDefault="00B0132D" w:rsidP="00B81BCF">
      <w:pPr>
        <w:pStyle w:val="Kopfzeile"/>
        <w:tabs>
          <w:tab w:val="left" w:pos="708"/>
        </w:tabs>
        <w:rPr>
          <w:rFonts w:cs="Arial"/>
          <w:color w:val="000000"/>
          <w:szCs w:val="22"/>
        </w:rPr>
      </w:pPr>
      <w:r w:rsidRPr="004C0DE3">
        <w:rPr>
          <w:rFonts w:cs="Arial"/>
          <w:color w:val="000000"/>
          <w:szCs w:val="22"/>
        </w:rPr>
        <w:t xml:space="preserve">Langenau, den </w:t>
      </w:r>
      <w:r w:rsidR="00B7129D" w:rsidRPr="004C0DE3">
        <w:rPr>
          <w:rFonts w:cs="Arial"/>
          <w:color w:val="000000"/>
          <w:szCs w:val="22"/>
        </w:rPr>
        <w:t>24</w:t>
      </w:r>
      <w:r w:rsidR="00F1505C" w:rsidRPr="004C0DE3">
        <w:rPr>
          <w:rFonts w:cs="Arial"/>
          <w:color w:val="000000"/>
          <w:szCs w:val="22"/>
        </w:rPr>
        <w:t>.</w:t>
      </w:r>
      <w:r w:rsidR="00B7129D" w:rsidRPr="004C0DE3">
        <w:rPr>
          <w:rFonts w:cs="Arial"/>
          <w:color w:val="000000"/>
          <w:szCs w:val="22"/>
        </w:rPr>
        <w:t>06</w:t>
      </w:r>
      <w:r w:rsidR="00F1505C" w:rsidRPr="004C0DE3">
        <w:rPr>
          <w:rFonts w:cs="Arial"/>
          <w:color w:val="000000"/>
          <w:szCs w:val="22"/>
        </w:rPr>
        <w:t>.20</w:t>
      </w:r>
      <w:r w:rsidR="00B7129D" w:rsidRPr="004C0DE3">
        <w:rPr>
          <w:rFonts w:cs="Arial"/>
          <w:color w:val="000000"/>
          <w:szCs w:val="22"/>
        </w:rPr>
        <w:t>21</w:t>
      </w:r>
    </w:p>
    <w:p w:rsidR="00B81BCF" w:rsidRPr="004C0DE3" w:rsidRDefault="00B81BCF" w:rsidP="00B81BCF">
      <w:pPr>
        <w:pStyle w:val="Kopfzeile"/>
        <w:tabs>
          <w:tab w:val="left" w:pos="708"/>
        </w:tabs>
        <w:rPr>
          <w:rFonts w:cs="Arial"/>
          <w:color w:val="000000"/>
          <w:szCs w:val="22"/>
        </w:rPr>
      </w:pPr>
    </w:p>
    <w:p w:rsidR="00B81BCF" w:rsidRPr="004C0DE3" w:rsidRDefault="00B81BCF" w:rsidP="00B81BCF">
      <w:pPr>
        <w:pStyle w:val="Kopfzeile"/>
        <w:tabs>
          <w:tab w:val="left" w:pos="708"/>
        </w:tabs>
        <w:rPr>
          <w:rFonts w:cs="Arial"/>
          <w:color w:val="000000"/>
          <w:szCs w:val="22"/>
        </w:rPr>
      </w:pPr>
    </w:p>
    <w:p w:rsidR="00B81BCF" w:rsidRPr="004C0DE3" w:rsidRDefault="00B81BCF" w:rsidP="00B81BCF">
      <w:pPr>
        <w:pStyle w:val="Kopfzeile"/>
        <w:tabs>
          <w:tab w:val="left" w:pos="708"/>
        </w:tabs>
        <w:rPr>
          <w:rFonts w:cs="Arial"/>
          <w:color w:val="000000"/>
          <w:szCs w:val="22"/>
        </w:rPr>
      </w:pPr>
    </w:p>
    <w:p w:rsidR="00B81BCF" w:rsidRPr="004C0DE3" w:rsidRDefault="00B81BCF" w:rsidP="00C15F18">
      <w:pPr>
        <w:pStyle w:val="Kopfzeile"/>
        <w:tabs>
          <w:tab w:val="left" w:pos="708"/>
        </w:tabs>
        <w:rPr>
          <w:rFonts w:cs="Arial"/>
          <w:b/>
          <w:szCs w:val="22"/>
        </w:rPr>
      </w:pPr>
    </w:p>
    <w:sectPr w:rsidR="00B81BCF" w:rsidRPr="004C0DE3">
      <w:footerReference w:type="default" r:id="rId8"/>
      <w:type w:val="continuous"/>
      <w:pgSz w:w="11906" w:h="16838"/>
      <w:pgMar w:top="1417" w:right="1417" w:bottom="1134"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204" w:rsidRDefault="00F91204">
      <w:pPr>
        <w:spacing w:line="240" w:lineRule="auto"/>
      </w:pPr>
      <w:r>
        <w:separator/>
      </w:r>
    </w:p>
  </w:endnote>
  <w:endnote w:type="continuationSeparator" w:id="0">
    <w:p w:rsidR="00F91204" w:rsidRDefault="00F91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BF6" w:rsidRDefault="00C80233">
    <w:pPr>
      <w:pStyle w:val="Fuzeile"/>
      <w:tabs>
        <w:tab w:val="clear" w:pos="4536"/>
      </w:tabs>
      <w:rPr>
        <w:sz w:val="16"/>
      </w:rPr>
    </w:pPr>
    <w:r>
      <w:rPr>
        <w:sz w:val="16"/>
      </w:rPr>
      <w:tab/>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0A7AFB">
      <w:rPr>
        <w:rStyle w:val="Seitenzahl"/>
        <w:noProof/>
        <w:sz w:val="16"/>
      </w:rPr>
      <w:t>3</w:t>
    </w:r>
    <w:r>
      <w:rPr>
        <w:rStyle w:val="Seitenzahl"/>
        <w:sz w:val="16"/>
      </w:rPr>
      <w:fldChar w:fldCharType="end"/>
    </w:r>
    <w:r>
      <w:rPr>
        <w:rStyle w:val="Seitenzahl"/>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sidR="000A7AFB">
      <w:rPr>
        <w:rStyle w:val="Seitenzahl"/>
        <w:noProof/>
        <w:sz w:val="16"/>
      </w:rPr>
      <w:t>4</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204" w:rsidRDefault="00F91204">
      <w:pPr>
        <w:spacing w:line="240" w:lineRule="auto"/>
      </w:pPr>
      <w:r>
        <w:separator/>
      </w:r>
    </w:p>
  </w:footnote>
  <w:footnote w:type="continuationSeparator" w:id="0">
    <w:p w:rsidR="00F91204" w:rsidRDefault="00F912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81A"/>
    <w:multiLevelType w:val="hybridMultilevel"/>
    <w:tmpl w:val="D88E64A2"/>
    <w:lvl w:ilvl="0" w:tplc="16505A34">
      <w:start w:val="1"/>
      <w:numFmt w:val="upperRoman"/>
      <w:lvlText w:val="%1."/>
      <w:lvlJc w:val="right"/>
      <w:pPr>
        <w:tabs>
          <w:tab w:val="num" w:pos="567"/>
        </w:tabs>
        <w:ind w:left="567" w:hanging="454"/>
      </w:pPr>
      <w:rPr>
        <w:rFonts w:ascii="Arial" w:hAnsi="Arial" w:cs="Times New Roman" w:hint="default"/>
        <w:b/>
        <w:i w:val="0"/>
        <w:sz w:val="22"/>
      </w:rPr>
    </w:lvl>
    <w:lvl w:ilvl="1" w:tplc="E760E824">
      <w:start w:val="1"/>
      <w:numFmt w:val="decimal"/>
      <w:lvlText w:val="%2."/>
      <w:lvlJc w:val="left"/>
      <w:pPr>
        <w:tabs>
          <w:tab w:val="num" w:pos="567"/>
        </w:tabs>
        <w:ind w:left="567" w:hanging="567"/>
      </w:pPr>
      <w:rPr>
        <w:b/>
        <w:i w:val="0"/>
      </w:rPr>
    </w:lvl>
    <w:lvl w:ilvl="2" w:tplc="2FB82B04">
      <w:start w:val="1"/>
      <w:numFmt w:val="none"/>
      <w:lvlText w:val="1.1"/>
      <w:lvlJc w:val="left"/>
      <w:pPr>
        <w:tabs>
          <w:tab w:val="num" w:pos="567"/>
        </w:tabs>
        <w:ind w:left="567" w:hanging="567"/>
      </w:pPr>
      <w:rPr>
        <w:rFonts w:ascii="Arial (W1)" w:hAnsi="Arial (W1)" w:cs="Times New Roman" w:hint="default"/>
        <w:b/>
        <w:i w:val="0"/>
        <w:sz w:val="22"/>
      </w:rPr>
    </w:lvl>
    <w:lvl w:ilvl="3" w:tplc="825EC8E0">
      <w:start w:val="2"/>
      <w:numFmt w:val="decimal"/>
      <w:lvlText w:val="%4."/>
      <w:lvlJc w:val="left"/>
      <w:pPr>
        <w:tabs>
          <w:tab w:val="num" w:pos="567"/>
        </w:tabs>
        <w:ind w:left="567" w:hanging="567"/>
      </w:pPr>
      <w:rPr>
        <w:b/>
        <w:i w:val="0"/>
      </w:r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0CE01095"/>
    <w:multiLevelType w:val="hybridMultilevel"/>
    <w:tmpl w:val="07A802DC"/>
    <w:lvl w:ilvl="0" w:tplc="9AE6D2CC">
      <w:start w:val="1"/>
      <w:numFmt w:val="decimal"/>
      <w:lvlText w:val="%1."/>
      <w:lvlJc w:val="left"/>
      <w:pPr>
        <w:tabs>
          <w:tab w:val="num" w:pos="567"/>
        </w:tabs>
        <w:ind w:left="567" w:hanging="567"/>
      </w:pPr>
      <w:rPr>
        <w:b w:val="0"/>
      </w:rPr>
    </w:lvl>
    <w:lvl w:ilvl="1" w:tplc="0CCEB39C">
      <w:start w:val="2"/>
      <w:numFmt w:val="upperRoman"/>
      <w:lvlText w:val="%2."/>
      <w:lvlJc w:val="left"/>
      <w:pPr>
        <w:tabs>
          <w:tab w:val="num" w:pos="567"/>
        </w:tabs>
        <w:ind w:left="567" w:hanging="567"/>
      </w:pPr>
      <w:rPr>
        <w:rFonts w:ascii="Arial (W1)" w:hAnsi="Arial (W1)" w:cs="Times New Roman" w:hint="default"/>
        <w:b/>
        <w:i w:val="0"/>
        <w:sz w:val="22"/>
      </w:rPr>
    </w:lvl>
    <w:lvl w:ilvl="2" w:tplc="6CD6BBF2">
      <w:start w:val="1"/>
      <w:numFmt w:val="decimal"/>
      <w:lvlText w:val="%3."/>
      <w:lvlJc w:val="left"/>
      <w:pPr>
        <w:tabs>
          <w:tab w:val="num" w:pos="567"/>
        </w:tabs>
        <w:ind w:left="567" w:hanging="567"/>
      </w:pPr>
      <w:rPr>
        <w:b/>
        <w:i w:val="0"/>
        <w:sz w:val="22"/>
      </w:rPr>
    </w:lvl>
    <w:lvl w:ilvl="3" w:tplc="A3883174">
      <w:start w:val="3"/>
      <w:numFmt w:val="upperRoman"/>
      <w:lvlText w:val="%4."/>
      <w:lvlJc w:val="left"/>
      <w:pPr>
        <w:tabs>
          <w:tab w:val="num" w:pos="567"/>
        </w:tabs>
        <w:ind w:left="567" w:hanging="567"/>
      </w:pPr>
      <w:rPr>
        <w:rFonts w:ascii="Arial (W1)" w:hAnsi="Arial (W1)" w:cs="Times New Roman" w:hint="default"/>
        <w:b/>
        <w:i w:val="0"/>
        <w:sz w:val="22"/>
      </w:rPr>
    </w:lvl>
    <w:lvl w:ilvl="4" w:tplc="3DFA0728">
      <w:start w:val="1"/>
      <w:numFmt w:val="decimal"/>
      <w:lvlText w:val="%5."/>
      <w:lvlJc w:val="left"/>
      <w:pPr>
        <w:tabs>
          <w:tab w:val="num" w:pos="567"/>
        </w:tabs>
        <w:ind w:left="567" w:hanging="567"/>
      </w:pPr>
      <w:rPr>
        <w:rFonts w:ascii="Arial" w:hAnsi="Arial" w:hint="default"/>
        <w:b/>
        <w:i w:val="0"/>
        <w:sz w:val="22"/>
      </w:r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13E310F0"/>
    <w:multiLevelType w:val="hybridMultilevel"/>
    <w:tmpl w:val="D42AD63E"/>
    <w:lvl w:ilvl="0" w:tplc="7DFA7056">
      <w:start w:val="1"/>
      <w:numFmt w:val="decimal"/>
      <w:lvlText w:val="%1."/>
      <w:lvlJc w:val="left"/>
      <w:pPr>
        <w:ind w:left="1287" w:hanging="360"/>
      </w:pPr>
      <w:rPr>
        <w:rFonts w:ascii="Arial" w:hAnsi="Arial" w:hint="default"/>
        <w:b w:val="0"/>
        <w:i w:val="0"/>
        <w:sz w:val="22"/>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21A74B15"/>
    <w:multiLevelType w:val="hybridMultilevel"/>
    <w:tmpl w:val="58B238B0"/>
    <w:lvl w:ilvl="0" w:tplc="4C327106">
      <w:start w:val="1"/>
      <w:numFmt w:val="decimal"/>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4F7471A"/>
    <w:multiLevelType w:val="hybridMultilevel"/>
    <w:tmpl w:val="EF74D9F8"/>
    <w:lvl w:ilvl="0" w:tplc="CF66087A">
      <w:start w:val="2"/>
      <w:numFmt w:val="upperRoman"/>
      <w:lvlText w:val="%1."/>
      <w:lvlJc w:val="left"/>
      <w:pPr>
        <w:tabs>
          <w:tab w:val="num" w:pos="567"/>
        </w:tabs>
        <w:ind w:left="567" w:hanging="567"/>
      </w:pPr>
      <w:rPr>
        <w:rFonts w:ascii="Arial (W1)" w:hAnsi="Arial (W1)" w:cs="Times New Roman" w:hint="default"/>
        <w:b/>
        <w:i w:val="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61EB4E8D"/>
    <w:multiLevelType w:val="hybridMultilevel"/>
    <w:tmpl w:val="7E4A4F1C"/>
    <w:lvl w:ilvl="0" w:tplc="80D0109A">
      <w:start w:val="1"/>
      <w:numFmt w:val="decimal"/>
      <w:lvlText w:val="1.%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CE"/>
    <w:rsid w:val="00011DCF"/>
    <w:rsid w:val="00023C3F"/>
    <w:rsid w:val="00024CFC"/>
    <w:rsid w:val="00037029"/>
    <w:rsid w:val="000464A9"/>
    <w:rsid w:val="00063DEE"/>
    <w:rsid w:val="000879FF"/>
    <w:rsid w:val="000A7AFB"/>
    <w:rsid w:val="000B0164"/>
    <w:rsid w:val="000B5109"/>
    <w:rsid w:val="000D4A30"/>
    <w:rsid w:val="00111E80"/>
    <w:rsid w:val="00154CBF"/>
    <w:rsid w:val="00155D6C"/>
    <w:rsid w:val="001A5F08"/>
    <w:rsid w:val="001E0CA9"/>
    <w:rsid w:val="001F07AA"/>
    <w:rsid w:val="00213FD8"/>
    <w:rsid w:val="002169B2"/>
    <w:rsid w:val="00264CE2"/>
    <w:rsid w:val="002924A2"/>
    <w:rsid w:val="002D6E4E"/>
    <w:rsid w:val="00355B21"/>
    <w:rsid w:val="00371714"/>
    <w:rsid w:val="00401A98"/>
    <w:rsid w:val="00430011"/>
    <w:rsid w:val="004630BE"/>
    <w:rsid w:val="00492110"/>
    <w:rsid w:val="004A0E02"/>
    <w:rsid w:val="004C0DE3"/>
    <w:rsid w:val="004C1029"/>
    <w:rsid w:val="00543C7F"/>
    <w:rsid w:val="00577B28"/>
    <w:rsid w:val="005F1C51"/>
    <w:rsid w:val="00655F70"/>
    <w:rsid w:val="0065748D"/>
    <w:rsid w:val="00664403"/>
    <w:rsid w:val="007358B1"/>
    <w:rsid w:val="00755A9A"/>
    <w:rsid w:val="00782C17"/>
    <w:rsid w:val="00790513"/>
    <w:rsid w:val="00792ABC"/>
    <w:rsid w:val="007E2C6F"/>
    <w:rsid w:val="007F04DA"/>
    <w:rsid w:val="00874295"/>
    <w:rsid w:val="008B2EE3"/>
    <w:rsid w:val="008F13B7"/>
    <w:rsid w:val="00930DE1"/>
    <w:rsid w:val="009348D1"/>
    <w:rsid w:val="009352B1"/>
    <w:rsid w:val="009404B2"/>
    <w:rsid w:val="0095439F"/>
    <w:rsid w:val="0099779B"/>
    <w:rsid w:val="009A7053"/>
    <w:rsid w:val="00A46ACB"/>
    <w:rsid w:val="00A64DE1"/>
    <w:rsid w:val="00A85685"/>
    <w:rsid w:val="00AF7B65"/>
    <w:rsid w:val="00B0132D"/>
    <w:rsid w:val="00B01BB8"/>
    <w:rsid w:val="00B03BF6"/>
    <w:rsid w:val="00B05A6B"/>
    <w:rsid w:val="00B20388"/>
    <w:rsid w:val="00B23F65"/>
    <w:rsid w:val="00B57056"/>
    <w:rsid w:val="00B61ABF"/>
    <w:rsid w:val="00B7129D"/>
    <w:rsid w:val="00B803D8"/>
    <w:rsid w:val="00B81BCF"/>
    <w:rsid w:val="00B9197B"/>
    <w:rsid w:val="00BA206A"/>
    <w:rsid w:val="00BA3FCE"/>
    <w:rsid w:val="00BD1D1D"/>
    <w:rsid w:val="00BF20C0"/>
    <w:rsid w:val="00C15F18"/>
    <w:rsid w:val="00C35EF5"/>
    <w:rsid w:val="00C80233"/>
    <w:rsid w:val="00CA0D28"/>
    <w:rsid w:val="00CD5B13"/>
    <w:rsid w:val="00CD7110"/>
    <w:rsid w:val="00CF3167"/>
    <w:rsid w:val="00D159BC"/>
    <w:rsid w:val="00D34EB2"/>
    <w:rsid w:val="00D3625D"/>
    <w:rsid w:val="00D662F7"/>
    <w:rsid w:val="00D90903"/>
    <w:rsid w:val="00DF0A28"/>
    <w:rsid w:val="00DF0F90"/>
    <w:rsid w:val="00E03735"/>
    <w:rsid w:val="00E66E14"/>
    <w:rsid w:val="00EC663A"/>
    <w:rsid w:val="00EF5790"/>
    <w:rsid w:val="00EF62C9"/>
    <w:rsid w:val="00F1505C"/>
    <w:rsid w:val="00F51099"/>
    <w:rsid w:val="00F60C67"/>
    <w:rsid w:val="00F855CF"/>
    <w:rsid w:val="00F91204"/>
    <w:rsid w:val="00FA6B91"/>
    <w:rsid w:val="00FE5A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DC5D8"/>
  <w15:docId w15:val="{D7B80E0B-C630-4457-B98A-28A5A787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60" w:lineRule="atLeast"/>
    </w:pPr>
    <w:rPr>
      <w:rFonts w:ascii="Arial" w:hAnsi="Arial"/>
      <w:sz w:val="22"/>
      <w:szCs w:val="24"/>
    </w:rPr>
  </w:style>
  <w:style w:type="paragraph" w:styleId="berschrift1">
    <w:name w:val="heading 1"/>
    <w:basedOn w:val="Standard"/>
    <w:next w:val="Standard"/>
    <w:link w:val="berschrift1Zchn"/>
    <w:qFormat/>
    <w:rsid w:val="00B81BCF"/>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customStyle="1" w:styleId="berschrift1Zchn">
    <w:name w:val="Überschrift 1 Zchn"/>
    <w:basedOn w:val="Absatz-Standardschriftart"/>
    <w:link w:val="berschrift1"/>
    <w:rsid w:val="00B81BCF"/>
    <w:rPr>
      <w:rFonts w:ascii="Arial" w:hAnsi="Arial"/>
      <w:b/>
      <w:bCs/>
      <w:sz w:val="24"/>
      <w:szCs w:val="24"/>
    </w:rPr>
  </w:style>
  <w:style w:type="character" w:customStyle="1" w:styleId="KopfzeileZchn">
    <w:name w:val="Kopfzeile Zchn"/>
    <w:basedOn w:val="Absatz-Standardschriftart"/>
    <w:link w:val="Kopfzeile"/>
    <w:semiHidden/>
    <w:rsid w:val="00B81BCF"/>
    <w:rPr>
      <w:rFonts w:ascii="Arial" w:hAnsi="Arial"/>
      <w:sz w:val="22"/>
      <w:szCs w:val="24"/>
    </w:rPr>
  </w:style>
  <w:style w:type="paragraph" w:styleId="Textkrper-Zeileneinzug">
    <w:name w:val="Body Text Indent"/>
    <w:basedOn w:val="Standard"/>
    <w:link w:val="Textkrper-ZeileneinzugZchn"/>
    <w:semiHidden/>
    <w:unhideWhenUsed/>
    <w:rsid w:val="00B81BCF"/>
    <w:pPr>
      <w:ind w:left="567"/>
    </w:pPr>
  </w:style>
  <w:style w:type="character" w:customStyle="1" w:styleId="Textkrper-ZeileneinzugZchn">
    <w:name w:val="Textkörper-Zeileneinzug Zchn"/>
    <w:basedOn w:val="Absatz-Standardschriftart"/>
    <w:link w:val="Textkrper-Zeileneinzug"/>
    <w:semiHidden/>
    <w:rsid w:val="00B81BCF"/>
    <w:rPr>
      <w:rFonts w:ascii="Arial" w:hAnsi="Arial"/>
      <w:sz w:val="22"/>
      <w:szCs w:val="24"/>
    </w:rPr>
  </w:style>
  <w:style w:type="paragraph" w:styleId="Listenabsatz">
    <w:name w:val="List Paragraph"/>
    <w:basedOn w:val="Standard"/>
    <w:uiPriority w:val="34"/>
    <w:qFormat/>
    <w:rsid w:val="00B81BCF"/>
    <w:pPr>
      <w:ind w:left="720"/>
      <w:contextualSpacing/>
    </w:pPr>
  </w:style>
  <w:style w:type="paragraph" w:styleId="Sprechblasentext">
    <w:name w:val="Balloon Text"/>
    <w:basedOn w:val="Standard"/>
    <w:link w:val="SprechblasentextZchn"/>
    <w:uiPriority w:val="99"/>
    <w:semiHidden/>
    <w:unhideWhenUsed/>
    <w:rsid w:val="0065748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7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9E269-BE18-45D8-8F4C-A7B34595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1111</Words>
  <Characters>7002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Aktenzeichen</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Aktenzeichen</dc:title>
  <dc:subject/>
  <dc:creator>VVL</dc:creator>
  <cp:keywords/>
  <dc:description/>
  <cp:lastModifiedBy>Unseld, Marianne, VVL</cp:lastModifiedBy>
  <cp:revision>8</cp:revision>
  <cp:lastPrinted>2021-06-25T08:33:00Z</cp:lastPrinted>
  <dcterms:created xsi:type="dcterms:W3CDTF">2021-06-24T06:45:00Z</dcterms:created>
  <dcterms:modified xsi:type="dcterms:W3CDTF">2021-06-25T08:35:00Z</dcterms:modified>
</cp:coreProperties>
</file>