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33" w:rsidRPr="000A67C5" w:rsidRDefault="000A67C5">
      <w:pPr>
        <w:rPr>
          <w:b/>
        </w:rPr>
      </w:pPr>
      <w:bookmarkStart w:id="0" w:name="_GoBack"/>
      <w:bookmarkEnd w:id="0"/>
      <w:r w:rsidRPr="000A67C5">
        <w:rPr>
          <w:b/>
        </w:rPr>
        <w:t>Stadt Langenau</w:t>
      </w:r>
    </w:p>
    <w:p w:rsidR="000A67C5" w:rsidRDefault="000A67C5"/>
    <w:p w:rsidR="000A67C5" w:rsidRDefault="000A67C5"/>
    <w:p w:rsidR="000A67C5" w:rsidRPr="000A67C5" w:rsidRDefault="000A67C5" w:rsidP="000A67C5">
      <w:pPr>
        <w:jc w:val="center"/>
        <w:rPr>
          <w:b/>
          <w:sz w:val="24"/>
        </w:rPr>
      </w:pPr>
    </w:p>
    <w:p w:rsidR="000A67C5" w:rsidRPr="000A67C5" w:rsidRDefault="000A67C5" w:rsidP="000A67C5">
      <w:pPr>
        <w:jc w:val="center"/>
        <w:rPr>
          <w:b/>
          <w:sz w:val="24"/>
        </w:rPr>
      </w:pPr>
    </w:p>
    <w:p w:rsidR="000A67C5" w:rsidRPr="000A67C5" w:rsidRDefault="000A67C5" w:rsidP="000A67C5">
      <w:pPr>
        <w:jc w:val="center"/>
        <w:rPr>
          <w:b/>
          <w:sz w:val="24"/>
        </w:rPr>
      </w:pPr>
      <w:r w:rsidRPr="000A67C5">
        <w:rPr>
          <w:b/>
          <w:sz w:val="24"/>
        </w:rPr>
        <w:t>Begründung</w:t>
      </w:r>
    </w:p>
    <w:p w:rsidR="000A67C5" w:rsidRPr="000A67C5" w:rsidRDefault="000A67C5" w:rsidP="000A67C5">
      <w:pPr>
        <w:jc w:val="center"/>
        <w:rPr>
          <w:b/>
          <w:sz w:val="24"/>
        </w:rPr>
      </w:pPr>
      <w:r w:rsidRPr="000A67C5">
        <w:rPr>
          <w:b/>
          <w:sz w:val="24"/>
        </w:rPr>
        <w:t>zum Bebauungsplan und zur örtlichen Bauvorschrift</w:t>
      </w:r>
    </w:p>
    <w:p w:rsidR="000A67C5" w:rsidRPr="000A67C5" w:rsidRDefault="000A67C5" w:rsidP="000A67C5">
      <w:pPr>
        <w:jc w:val="center"/>
        <w:rPr>
          <w:b/>
          <w:sz w:val="24"/>
        </w:rPr>
      </w:pPr>
      <w:r w:rsidRPr="000A67C5">
        <w:rPr>
          <w:b/>
          <w:sz w:val="24"/>
        </w:rPr>
        <w:t>„Ostener Kuften“</w:t>
      </w:r>
    </w:p>
    <w:p w:rsidR="000A67C5" w:rsidRPr="000A67C5" w:rsidRDefault="000A67C5" w:rsidP="000A67C5">
      <w:pPr>
        <w:jc w:val="center"/>
        <w:rPr>
          <w:b/>
          <w:sz w:val="24"/>
        </w:rPr>
      </w:pPr>
    </w:p>
    <w:p w:rsidR="000A67C5" w:rsidRDefault="000A67C5" w:rsidP="000A67C5">
      <w:pPr>
        <w:jc w:val="center"/>
        <w:rPr>
          <w:b/>
          <w:sz w:val="24"/>
        </w:rPr>
      </w:pPr>
    </w:p>
    <w:p w:rsidR="000A67C5" w:rsidRDefault="000A67C5" w:rsidP="000A67C5">
      <w:pPr>
        <w:jc w:val="center"/>
        <w:rPr>
          <w:b/>
          <w:sz w:val="24"/>
        </w:rPr>
      </w:pPr>
    </w:p>
    <w:p w:rsidR="000A67C5" w:rsidRPr="000A67C5" w:rsidRDefault="000A67C5" w:rsidP="000A67C5">
      <w:pPr>
        <w:pStyle w:val="Listenabsatz"/>
        <w:numPr>
          <w:ilvl w:val="0"/>
          <w:numId w:val="2"/>
        </w:numPr>
        <w:rPr>
          <w:b/>
          <w:szCs w:val="22"/>
        </w:rPr>
      </w:pPr>
      <w:r w:rsidRPr="00500741">
        <w:rPr>
          <w:b/>
          <w:szCs w:val="22"/>
        </w:rPr>
        <w:t>Erfordernis der Planung</w:t>
      </w:r>
      <w:r w:rsidRPr="00500741">
        <w:rPr>
          <w:b/>
          <w:szCs w:val="22"/>
        </w:rPr>
        <w:br/>
      </w:r>
      <w:r>
        <w:rPr>
          <w:szCs w:val="22"/>
        </w:rPr>
        <w:t>Am 17.08.2017 wurde eine Bauvoranfrage eingereicht für den Neubau von 3 Doppelhä</w:t>
      </w:r>
      <w:r>
        <w:rPr>
          <w:szCs w:val="22"/>
        </w:rPr>
        <w:t>u</w:t>
      </w:r>
      <w:r>
        <w:rPr>
          <w:szCs w:val="22"/>
        </w:rPr>
        <w:t>sern und 1 Einfamilienhaus auf den Flst. 255, 255/1, 255/2, 255/3, 255/4, 255/5, 256, 256/1, 257 und 268/1. Da diese Grundstücke größtenteils dem Außenbereich zuzuor</w:t>
      </w:r>
      <w:r>
        <w:rPr>
          <w:szCs w:val="22"/>
        </w:rPr>
        <w:t>d</w:t>
      </w:r>
      <w:r>
        <w:rPr>
          <w:szCs w:val="22"/>
        </w:rPr>
        <w:t xml:space="preserve">nen sind, wurde vom ATU am 23.10.2017 das planungsrechtliche </w:t>
      </w:r>
      <w:r w:rsidR="00787B43">
        <w:rPr>
          <w:szCs w:val="22"/>
        </w:rPr>
        <w:t>E</w:t>
      </w:r>
      <w:r>
        <w:rPr>
          <w:szCs w:val="22"/>
        </w:rPr>
        <w:t>invernehmen nicht e</w:t>
      </w:r>
      <w:r>
        <w:rPr>
          <w:szCs w:val="22"/>
        </w:rPr>
        <w:t>r</w:t>
      </w:r>
      <w:r>
        <w:rPr>
          <w:szCs w:val="22"/>
        </w:rPr>
        <w:t>teilt. Die Verwaltung wurde jedoch beauftragt zu prüfen, ob mit planungsrechtlichen Mi</w:t>
      </w:r>
      <w:r>
        <w:rPr>
          <w:szCs w:val="22"/>
        </w:rPr>
        <w:t>t</w:t>
      </w:r>
      <w:r>
        <w:rPr>
          <w:szCs w:val="22"/>
        </w:rPr>
        <w:t xml:space="preserve">teln ein Baurecht geschaffen werden kann. </w:t>
      </w:r>
    </w:p>
    <w:p w:rsidR="000A67C5" w:rsidRPr="000A67C5" w:rsidRDefault="000A67C5" w:rsidP="000A67C5">
      <w:pPr>
        <w:pStyle w:val="Listenabsatz"/>
        <w:ind w:left="360"/>
        <w:rPr>
          <w:b/>
          <w:szCs w:val="22"/>
        </w:rPr>
      </w:pPr>
      <w:r>
        <w:rPr>
          <w:szCs w:val="22"/>
        </w:rPr>
        <w:t>Mit dem seit kurzem geltenden § 13b BauGB können Wohnbaugebiete abweichend vom Flächennutzungsplan ausgewiesen werden, wenn sich diese an den Ortsrand anschli</w:t>
      </w:r>
      <w:r>
        <w:rPr>
          <w:szCs w:val="22"/>
        </w:rPr>
        <w:t>e</w:t>
      </w:r>
      <w:r>
        <w:rPr>
          <w:szCs w:val="22"/>
        </w:rPr>
        <w:t>ßen und weniger als 10.000 m² Nettobaufläche festgesetzt werden. Diese Voraussetzu</w:t>
      </w:r>
      <w:r>
        <w:rPr>
          <w:szCs w:val="22"/>
        </w:rPr>
        <w:t>n</w:t>
      </w:r>
      <w:r>
        <w:rPr>
          <w:szCs w:val="22"/>
        </w:rPr>
        <w:t>gen sind hier erfüllt. Die Ausweisung eines allgemeinen Wohngebiets ist auch in immiss</w:t>
      </w:r>
      <w:r>
        <w:rPr>
          <w:szCs w:val="22"/>
        </w:rPr>
        <w:t>i</w:t>
      </w:r>
      <w:r>
        <w:rPr>
          <w:szCs w:val="22"/>
        </w:rPr>
        <w:t>onsschutzrechtlicher Hinsicht möglich. Lediglich der südliche Bereich des Plangebiets ist mit einer Geruchsstundenhäufigkeit von 10 – 15 % beaufschlagt. In diesem Bereich sind Aufenthaltsräume nicht zulässig. In archäologischer Hinsicht sind Voruntersuchungen e</w:t>
      </w:r>
      <w:r>
        <w:rPr>
          <w:szCs w:val="22"/>
        </w:rPr>
        <w:t>r</w:t>
      </w:r>
      <w:r>
        <w:rPr>
          <w:szCs w:val="22"/>
        </w:rPr>
        <w:t xml:space="preserve">forderlich, da Funde sehr wahrscheinlich sind. </w:t>
      </w:r>
    </w:p>
    <w:p w:rsidR="000A67C5" w:rsidRPr="000A67C5" w:rsidRDefault="000A67C5" w:rsidP="000A67C5">
      <w:pPr>
        <w:pStyle w:val="Listenabsatz"/>
        <w:ind w:left="360"/>
        <w:rPr>
          <w:b/>
          <w:szCs w:val="22"/>
        </w:rPr>
      </w:pPr>
      <w:r w:rsidRPr="00500741">
        <w:rPr>
          <w:szCs w:val="22"/>
        </w:rPr>
        <w:t xml:space="preserve">Da die </w:t>
      </w:r>
      <w:r>
        <w:rPr>
          <w:szCs w:val="22"/>
        </w:rPr>
        <w:t>Aufstellung des Bebauungsplanes „Breiter Weg III / Beim Sankt Jakobsweg</w:t>
      </w:r>
      <w:r w:rsidR="00787B43">
        <w:rPr>
          <w:szCs w:val="22"/>
        </w:rPr>
        <w:t>“</w:t>
      </w:r>
      <w:r>
        <w:rPr>
          <w:szCs w:val="22"/>
        </w:rPr>
        <w:t xml:space="preserve"> de</w:t>
      </w:r>
      <w:r>
        <w:rPr>
          <w:szCs w:val="22"/>
        </w:rPr>
        <w:t>r</w:t>
      </w:r>
      <w:r>
        <w:rPr>
          <w:szCs w:val="22"/>
        </w:rPr>
        <w:t xml:space="preserve">zeit zwar im Verfahren ist, aber voraussichtlich noch ca. 1 Jahr in </w:t>
      </w:r>
      <w:r w:rsidRPr="00500741">
        <w:rPr>
          <w:szCs w:val="22"/>
        </w:rPr>
        <w:t xml:space="preserve"> Anspruch nehmen wird, wird von der Möglichkeit des § 13 b  BauGB Gebrauch gemacht, auch im FNP nicht enthaltene Flächen einer Wohnbaunut</w:t>
      </w:r>
      <w:r>
        <w:rPr>
          <w:szCs w:val="22"/>
        </w:rPr>
        <w:t xml:space="preserve">zung zuzuführen. </w:t>
      </w:r>
      <w:r w:rsidRPr="00500741">
        <w:rPr>
          <w:szCs w:val="22"/>
        </w:rPr>
        <w:t>Diese Einbeziehung von nicht im FNP enthaltenen Flächen dient der Deckung der Nachfrage nach Wohnbauland</w:t>
      </w:r>
      <w:r>
        <w:rPr>
          <w:szCs w:val="22"/>
        </w:rPr>
        <w:t xml:space="preserve">. </w:t>
      </w:r>
    </w:p>
    <w:p w:rsidR="000A67C5" w:rsidRPr="00500741" w:rsidRDefault="000A67C5" w:rsidP="000A67C5">
      <w:pPr>
        <w:pStyle w:val="Listenabsatz"/>
        <w:ind w:left="360"/>
        <w:rPr>
          <w:b/>
          <w:szCs w:val="22"/>
        </w:rPr>
      </w:pPr>
    </w:p>
    <w:p w:rsidR="000A67C5" w:rsidRPr="00500741" w:rsidRDefault="000A67C5" w:rsidP="000A67C5">
      <w:pPr>
        <w:pStyle w:val="Listenabsatz"/>
        <w:numPr>
          <w:ilvl w:val="0"/>
          <w:numId w:val="2"/>
        </w:numPr>
        <w:rPr>
          <w:b/>
          <w:szCs w:val="22"/>
        </w:rPr>
      </w:pPr>
      <w:r w:rsidRPr="00500741">
        <w:rPr>
          <w:b/>
          <w:szCs w:val="22"/>
        </w:rPr>
        <w:t>Ziele und Zwecke der Planung</w:t>
      </w:r>
      <w:r w:rsidRPr="00500741">
        <w:rPr>
          <w:b/>
          <w:szCs w:val="22"/>
        </w:rPr>
        <w:br/>
      </w:r>
      <w:r w:rsidRPr="00500741">
        <w:rPr>
          <w:szCs w:val="22"/>
        </w:rPr>
        <w:t>Mit dem Bebauungsplan sollen die planungsrechtlichen Voraussetzungen für die Erric</w:t>
      </w:r>
      <w:r w:rsidRPr="00500741">
        <w:rPr>
          <w:szCs w:val="22"/>
        </w:rPr>
        <w:t>h</w:t>
      </w:r>
      <w:r w:rsidR="00C20D37">
        <w:rPr>
          <w:szCs w:val="22"/>
        </w:rPr>
        <w:t>tung eines Wohngebiets im</w:t>
      </w:r>
      <w:r w:rsidRPr="00500741">
        <w:rPr>
          <w:szCs w:val="22"/>
        </w:rPr>
        <w:t xml:space="preserve"> östlichen </w:t>
      </w:r>
      <w:r w:rsidR="00787B43">
        <w:rPr>
          <w:szCs w:val="22"/>
        </w:rPr>
        <w:t>Stad</w:t>
      </w:r>
      <w:r w:rsidR="005B24D4">
        <w:rPr>
          <w:szCs w:val="22"/>
        </w:rPr>
        <w:t>t</w:t>
      </w:r>
      <w:r w:rsidR="00787B43">
        <w:rPr>
          <w:szCs w:val="22"/>
        </w:rPr>
        <w:t>bereich</w:t>
      </w:r>
      <w:r w:rsidRPr="00500741">
        <w:rPr>
          <w:szCs w:val="22"/>
        </w:rPr>
        <w:t xml:space="preserve"> geschaffen werden. </w:t>
      </w:r>
      <w:r w:rsidRPr="00500741">
        <w:rPr>
          <w:szCs w:val="22"/>
        </w:rPr>
        <w:br/>
        <w:t xml:space="preserve">Der Bebauungsplan soll der Bewältigung des Konflikts zwischen Bereitstellung von </w:t>
      </w:r>
      <w:r w:rsidR="00C20D37">
        <w:rPr>
          <w:szCs w:val="22"/>
        </w:rPr>
        <w:t xml:space="preserve">Wohnbauland </w:t>
      </w:r>
      <w:r w:rsidRPr="00500741">
        <w:rPr>
          <w:szCs w:val="22"/>
        </w:rPr>
        <w:t>und dem Erhalt der natürlichen Eigenart der Landschaft dienen. Die örtl</w:t>
      </w:r>
      <w:r w:rsidRPr="00500741">
        <w:rPr>
          <w:szCs w:val="22"/>
        </w:rPr>
        <w:t>i</w:t>
      </w:r>
      <w:r w:rsidRPr="00500741">
        <w:rPr>
          <w:szCs w:val="22"/>
        </w:rPr>
        <w:t xml:space="preserve">che Bauvorschrift soll gewährleisten, dass </w:t>
      </w:r>
      <w:r w:rsidR="00C20D37">
        <w:rPr>
          <w:szCs w:val="22"/>
        </w:rPr>
        <w:t>s</w:t>
      </w:r>
      <w:r w:rsidRPr="00500741">
        <w:rPr>
          <w:szCs w:val="22"/>
        </w:rPr>
        <w:t>ich das Plangebiet trotz einer gewissen Ve</w:t>
      </w:r>
      <w:r w:rsidRPr="00500741">
        <w:rPr>
          <w:szCs w:val="22"/>
        </w:rPr>
        <w:t>r</w:t>
      </w:r>
      <w:r w:rsidRPr="00500741">
        <w:rPr>
          <w:szCs w:val="22"/>
        </w:rPr>
        <w:t xml:space="preserve">dichtung gestalterisch </w:t>
      </w:r>
      <w:r w:rsidR="00C20D37">
        <w:rPr>
          <w:szCs w:val="22"/>
        </w:rPr>
        <w:t xml:space="preserve">der umgebenden Bebauung annähert. </w:t>
      </w:r>
      <w:r w:rsidRPr="00500741">
        <w:rPr>
          <w:szCs w:val="22"/>
        </w:rPr>
        <w:t xml:space="preserve"> </w:t>
      </w:r>
      <w:r w:rsidRPr="00500741"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2"/>
        </w:numPr>
        <w:rPr>
          <w:b/>
          <w:szCs w:val="22"/>
        </w:rPr>
      </w:pPr>
      <w:r w:rsidRPr="00500741">
        <w:rPr>
          <w:b/>
          <w:szCs w:val="22"/>
        </w:rPr>
        <w:t>Inhalt der Planung</w:t>
      </w:r>
      <w:r w:rsidRPr="00500741">
        <w:rPr>
          <w:b/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3"/>
        </w:numPr>
        <w:rPr>
          <w:b/>
          <w:szCs w:val="22"/>
        </w:rPr>
      </w:pPr>
      <w:r w:rsidRPr="00500741">
        <w:rPr>
          <w:b/>
          <w:szCs w:val="22"/>
        </w:rPr>
        <w:t>Art der baulichen Nutzung</w:t>
      </w:r>
      <w:r w:rsidRPr="00500741">
        <w:rPr>
          <w:b/>
          <w:szCs w:val="22"/>
        </w:rPr>
        <w:br/>
      </w:r>
      <w:r w:rsidRPr="00500741">
        <w:rPr>
          <w:szCs w:val="22"/>
        </w:rPr>
        <w:t>allgemeines Wohngebiet gem. § 4 BauNVO</w:t>
      </w:r>
      <w:r w:rsidRPr="00500741"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3"/>
        </w:numPr>
        <w:rPr>
          <w:b/>
          <w:szCs w:val="22"/>
        </w:rPr>
      </w:pPr>
      <w:r w:rsidRPr="00500741">
        <w:rPr>
          <w:b/>
          <w:szCs w:val="22"/>
        </w:rPr>
        <w:t>Maß der baulichen Nutzung</w:t>
      </w:r>
      <w:r w:rsidRPr="00500741">
        <w:rPr>
          <w:b/>
          <w:szCs w:val="22"/>
        </w:rPr>
        <w:br/>
      </w:r>
      <w:r w:rsidRPr="00500741">
        <w:rPr>
          <w:szCs w:val="22"/>
        </w:rPr>
        <w:t>festgelegt durch Grundflächenzahl, Zahl der Vollgeschosse und max. Gebäudehöhen</w:t>
      </w:r>
      <w:r w:rsidRPr="00500741"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3"/>
        </w:numPr>
        <w:rPr>
          <w:b/>
          <w:szCs w:val="22"/>
        </w:rPr>
      </w:pPr>
      <w:r w:rsidRPr="00500741">
        <w:rPr>
          <w:b/>
          <w:szCs w:val="22"/>
        </w:rPr>
        <w:t>Überbaubare Grundstücksflächen</w:t>
      </w:r>
      <w:r w:rsidRPr="00500741">
        <w:rPr>
          <w:b/>
          <w:szCs w:val="22"/>
        </w:rPr>
        <w:br/>
      </w:r>
      <w:r w:rsidRPr="00500741">
        <w:rPr>
          <w:szCs w:val="22"/>
        </w:rPr>
        <w:t>abgegrenzt d</w:t>
      </w:r>
      <w:r w:rsidR="00B9620B">
        <w:rPr>
          <w:szCs w:val="22"/>
        </w:rPr>
        <w:t>urch Baugrenzen und –linien (für Garagen)</w:t>
      </w:r>
      <w:r w:rsidRPr="00500741"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3"/>
        </w:numPr>
        <w:rPr>
          <w:b/>
          <w:szCs w:val="22"/>
        </w:rPr>
      </w:pPr>
      <w:r w:rsidRPr="00500741">
        <w:rPr>
          <w:b/>
          <w:szCs w:val="22"/>
        </w:rPr>
        <w:t>Grünordnung</w:t>
      </w:r>
      <w:r w:rsidRPr="00500741">
        <w:rPr>
          <w:b/>
          <w:szCs w:val="22"/>
        </w:rPr>
        <w:br/>
      </w:r>
      <w:r w:rsidRPr="00500741">
        <w:rPr>
          <w:szCs w:val="22"/>
        </w:rPr>
        <w:t xml:space="preserve">Pflanzgebote zur </w:t>
      </w:r>
      <w:r w:rsidR="00B9620B">
        <w:rPr>
          <w:szCs w:val="22"/>
        </w:rPr>
        <w:t>Gebietseingrünung</w:t>
      </w:r>
      <w:r w:rsidRPr="00500741">
        <w:rPr>
          <w:szCs w:val="22"/>
        </w:rPr>
        <w:t xml:space="preserve"> </w:t>
      </w:r>
      <w:r w:rsidRPr="00500741"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3"/>
        </w:numPr>
        <w:rPr>
          <w:b/>
          <w:szCs w:val="22"/>
        </w:rPr>
      </w:pPr>
      <w:r w:rsidRPr="00500741">
        <w:rPr>
          <w:b/>
          <w:szCs w:val="22"/>
        </w:rPr>
        <w:lastRenderedPageBreak/>
        <w:t>Verkehrsplanung</w:t>
      </w:r>
      <w:r w:rsidRPr="00500741">
        <w:rPr>
          <w:b/>
          <w:szCs w:val="22"/>
        </w:rPr>
        <w:br/>
      </w:r>
      <w:r w:rsidRPr="00500741">
        <w:rPr>
          <w:szCs w:val="22"/>
        </w:rPr>
        <w:t xml:space="preserve">interne Erschließung über </w:t>
      </w:r>
      <w:r w:rsidR="00B9620B">
        <w:rPr>
          <w:szCs w:val="22"/>
        </w:rPr>
        <w:t>eine private Stichstraße</w:t>
      </w:r>
      <w:r w:rsidRPr="00500741">
        <w:rPr>
          <w:szCs w:val="22"/>
        </w:rPr>
        <w:t>, Anschluss an das überörtliche Str</w:t>
      </w:r>
      <w:r w:rsidRPr="00500741">
        <w:rPr>
          <w:szCs w:val="22"/>
        </w:rPr>
        <w:t>a</w:t>
      </w:r>
      <w:r w:rsidRPr="00500741">
        <w:rPr>
          <w:szCs w:val="22"/>
        </w:rPr>
        <w:t xml:space="preserve">ßennetz über </w:t>
      </w:r>
      <w:r w:rsidR="00B9620B">
        <w:rPr>
          <w:szCs w:val="22"/>
        </w:rPr>
        <w:t xml:space="preserve">die </w:t>
      </w:r>
      <w:r w:rsidRPr="00500741">
        <w:rPr>
          <w:szCs w:val="22"/>
        </w:rPr>
        <w:t>bestehende Gemeindestraße</w:t>
      </w:r>
      <w:r w:rsidR="00B9620B">
        <w:rPr>
          <w:szCs w:val="22"/>
        </w:rPr>
        <w:t xml:space="preserve"> Ostener Kuften</w:t>
      </w:r>
      <w:r w:rsidR="00787B43"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3"/>
        </w:numPr>
        <w:rPr>
          <w:b/>
          <w:szCs w:val="22"/>
        </w:rPr>
      </w:pPr>
      <w:r w:rsidRPr="00500741">
        <w:rPr>
          <w:b/>
          <w:szCs w:val="22"/>
        </w:rPr>
        <w:t>Baugestaltung</w:t>
      </w:r>
      <w:r w:rsidRPr="00500741">
        <w:rPr>
          <w:b/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4"/>
        </w:numPr>
        <w:ind w:left="709" w:hanging="709"/>
        <w:rPr>
          <w:b/>
          <w:szCs w:val="22"/>
        </w:rPr>
      </w:pPr>
      <w:r w:rsidRPr="00500741">
        <w:rPr>
          <w:b/>
          <w:szCs w:val="22"/>
        </w:rPr>
        <w:t>Einzelhäuser</w:t>
      </w:r>
      <w:r w:rsidRPr="00500741">
        <w:rPr>
          <w:b/>
          <w:szCs w:val="22"/>
        </w:rPr>
        <w:br/>
      </w:r>
      <w:r w:rsidR="00B9620B">
        <w:rPr>
          <w:szCs w:val="22"/>
        </w:rPr>
        <w:t xml:space="preserve">Um dem dörflichen Charakter des Umgebungsbereichs zu entsprechen, werden nur Einzel- u. Doppelhäuser zugelassen. Die Zahl der max. zulässigen Wohnungen wird deshalb auf 3 pro Einzelhaus und auf 2 pro Doppelhaushälfte begrenzt. </w:t>
      </w:r>
      <w:r w:rsidRPr="00500741"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4"/>
        </w:numPr>
        <w:ind w:left="709" w:hanging="709"/>
        <w:rPr>
          <w:b/>
          <w:szCs w:val="22"/>
        </w:rPr>
      </w:pPr>
      <w:r w:rsidRPr="00500741">
        <w:rPr>
          <w:b/>
          <w:szCs w:val="22"/>
        </w:rPr>
        <w:t>Garagen / Carports / Nebengebäude</w:t>
      </w:r>
      <w:r w:rsidRPr="00500741">
        <w:rPr>
          <w:b/>
          <w:szCs w:val="22"/>
        </w:rPr>
        <w:br/>
      </w:r>
      <w:r w:rsidRPr="00500741">
        <w:rPr>
          <w:szCs w:val="22"/>
        </w:rPr>
        <w:t>Garagen, überdachte Stellplätze (Carports) und Nebengebäude werden nur a</w:t>
      </w:r>
      <w:r>
        <w:rPr>
          <w:szCs w:val="22"/>
        </w:rPr>
        <w:t>uf den überbaubaren Grundstücksteilen</w:t>
      </w:r>
      <w:r w:rsidRPr="00500741">
        <w:rPr>
          <w:szCs w:val="22"/>
        </w:rPr>
        <w:t xml:space="preserve"> zugelassen. Damit soll trotz der geringen Breite der</w:t>
      </w:r>
      <w:r w:rsidR="00B9620B">
        <w:rPr>
          <w:szCs w:val="22"/>
        </w:rPr>
        <w:t xml:space="preserve"> privaten  Erschließungsstraße</w:t>
      </w:r>
      <w:r w:rsidRPr="00500741">
        <w:rPr>
          <w:szCs w:val="22"/>
        </w:rPr>
        <w:t xml:space="preserve"> mit</w:t>
      </w:r>
      <w:r w:rsidR="00B9620B">
        <w:rPr>
          <w:szCs w:val="22"/>
        </w:rPr>
        <w:t xml:space="preserve"> ca. 4 m </w:t>
      </w:r>
      <w:r w:rsidRPr="00500741">
        <w:rPr>
          <w:szCs w:val="22"/>
        </w:rPr>
        <w:t>ein aufgelockertes Straßenbild erreicht werden. Zudem sollen mit dem geforderten Stauraum vor Garagen und Carports we</w:t>
      </w:r>
      <w:r w:rsidRPr="00500741">
        <w:rPr>
          <w:szCs w:val="22"/>
        </w:rPr>
        <w:t>i</w:t>
      </w:r>
      <w:r w:rsidRPr="00500741">
        <w:rPr>
          <w:szCs w:val="22"/>
        </w:rPr>
        <w:t>tere Stell</w:t>
      </w:r>
      <w:r w:rsidR="00B9620B">
        <w:rPr>
          <w:szCs w:val="22"/>
        </w:rPr>
        <w:t>plätze auf den Bau</w:t>
      </w:r>
      <w:r w:rsidRPr="00500741">
        <w:rPr>
          <w:szCs w:val="22"/>
        </w:rPr>
        <w:t>grundstücken geschaffen werden.</w:t>
      </w:r>
      <w:r w:rsidRPr="00500741"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4"/>
        </w:numPr>
        <w:ind w:left="709" w:hanging="709"/>
        <w:rPr>
          <w:b/>
          <w:szCs w:val="22"/>
        </w:rPr>
      </w:pPr>
      <w:r w:rsidRPr="00500741">
        <w:rPr>
          <w:b/>
          <w:szCs w:val="22"/>
        </w:rPr>
        <w:t>Versorgungsleitungen</w:t>
      </w:r>
      <w:r w:rsidRPr="00500741">
        <w:rPr>
          <w:b/>
          <w:szCs w:val="22"/>
        </w:rPr>
        <w:br/>
      </w:r>
      <w:r w:rsidRPr="00500741">
        <w:rPr>
          <w:szCs w:val="22"/>
        </w:rPr>
        <w:t>Im Hinblick auf die Ortsrandlage und damit verbunden die Einsehbarkeit des Baug</w:t>
      </w:r>
      <w:r w:rsidRPr="00500741">
        <w:rPr>
          <w:szCs w:val="22"/>
        </w:rPr>
        <w:t>e</w:t>
      </w:r>
      <w:r w:rsidRPr="00500741">
        <w:rPr>
          <w:szCs w:val="22"/>
        </w:rPr>
        <w:t xml:space="preserve">biets </w:t>
      </w:r>
      <w:r w:rsidR="00B9620B">
        <w:rPr>
          <w:szCs w:val="22"/>
        </w:rPr>
        <w:t xml:space="preserve">von Süden her </w:t>
      </w:r>
      <w:r w:rsidRPr="00500741">
        <w:rPr>
          <w:szCs w:val="22"/>
        </w:rPr>
        <w:t>sind Versorgungsleitungen aus gestalterischen Gründen nur u</w:t>
      </w:r>
      <w:r w:rsidRPr="00500741">
        <w:rPr>
          <w:szCs w:val="22"/>
        </w:rPr>
        <w:t>n</w:t>
      </w:r>
      <w:r w:rsidRPr="00500741">
        <w:rPr>
          <w:szCs w:val="22"/>
        </w:rPr>
        <w:t xml:space="preserve">terirdisch zulässig. </w:t>
      </w:r>
      <w:r w:rsidRPr="00500741"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4"/>
        </w:numPr>
        <w:ind w:left="709" w:hanging="709"/>
        <w:rPr>
          <w:b/>
          <w:szCs w:val="22"/>
        </w:rPr>
      </w:pPr>
      <w:r w:rsidRPr="00500741">
        <w:rPr>
          <w:b/>
          <w:szCs w:val="22"/>
        </w:rPr>
        <w:t>Gebäudehöhen</w:t>
      </w:r>
      <w:r w:rsidRPr="00500741">
        <w:rPr>
          <w:b/>
          <w:szCs w:val="22"/>
        </w:rPr>
        <w:br/>
      </w:r>
      <w:r w:rsidRPr="00500741">
        <w:rPr>
          <w:szCs w:val="22"/>
        </w:rPr>
        <w:t xml:space="preserve">Die den benachbarten </w:t>
      </w:r>
      <w:r w:rsidR="00B9620B">
        <w:rPr>
          <w:szCs w:val="22"/>
        </w:rPr>
        <w:t>Bebauungen angepasste Gebäudehöhe solle</w:t>
      </w:r>
      <w:r w:rsidRPr="00500741">
        <w:rPr>
          <w:szCs w:val="22"/>
        </w:rPr>
        <w:t xml:space="preserve"> einen gewissen Verdichtungsgrad ermöglichen und dem Gebot des sparsamen Umgangs mit Grund und Boden gerecht werden.</w:t>
      </w:r>
      <w:r w:rsidRPr="00500741"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4"/>
        </w:numPr>
        <w:ind w:left="709" w:hanging="709"/>
        <w:rPr>
          <w:b/>
          <w:szCs w:val="22"/>
        </w:rPr>
      </w:pPr>
      <w:r w:rsidRPr="00500741">
        <w:rPr>
          <w:b/>
          <w:szCs w:val="22"/>
        </w:rPr>
        <w:t>Dachform</w:t>
      </w:r>
      <w:r w:rsidRPr="00500741">
        <w:rPr>
          <w:b/>
          <w:szCs w:val="22"/>
        </w:rPr>
        <w:br/>
      </w:r>
      <w:r>
        <w:rPr>
          <w:szCs w:val="22"/>
        </w:rPr>
        <w:t>E</w:t>
      </w:r>
      <w:r w:rsidRPr="00500741">
        <w:rPr>
          <w:szCs w:val="22"/>
        </w:rPr>
        <w:t xml:space="preserve">ntsprechend den </w:t>
      </w:r>
      <w:r w:rsidR="00B9620B">
        <w:rPr>
          <w:szCs w:val="22"/>
        </w:rPr>
        <w:t>angrenzenden Bebauungen</w:t>
      </w:r>
      <w:r w:rsidRPr="00500741">
        <w:rPr>
          <w:szCs w:val="22"/>
        </w:rPr>
        <w:t xml:space="preserve"> soll mit den vorgegebenen </w:t>
      </w:r>
      <w:r w:rsidR="00B9620B">
        <w:rPr>
          <w:szCs w:val="22"/>
        </w:rPr>
        <w:t xml:space="preserve">geneigten </w:t>
      </w:r>
      <w:r w:rsidRPr="00500741">
        <w:rPr>
          <w:szCs w:val="22"/>
        </w:rPr>
        <w:t>Dachformen und –farben die bestehende Dachlandschaft auch in das Plangebiet übernommen werden.</w:t>
      </w:r>
      <w:r w:rsidRPr="00500741">
        <w:rPr>
          <w:szCs w:val="22"/>
        </w:rPr>
        <w:br/>
      </w:r>
    </w:p>
    <w:p w:rsidR="000A67C5" w:rsidRPr="005869B0" w:rsidRDefault="000A67C5" w:rsidP="000A67C5">
      <w:pPr>
        <w:pStyle w:val="Listenabsatz"/>
        <w:numPr>
          <w:ilvl w:val="0"/>
          <w:numId w:val="4"/>
        </w:numPr>
        <w:ind w:left="709" w:hanging="709"/>
        <w:rPr>
          <w:b/>
          <w:szCs w:val="22"/>
        </w:rPr>
      </w:pPr>
      <w:r w:rsidRPr="00500741">
        <w:rPr>
          <w:b/>
          <w:szCs w:val="22"/>
        </w:rPr>
        <w:t>Stützmauern / Einfriedigungen</w:t>
      </w:r>
      <w:r w:rsidRPr="00500741">
        <w:rPr>
          <w:b/>
          <w:szCs w:val="22"/>
        </w:rPr>
        <w:br/>
      </w:r>
      <w:r w:rsidRPr="00500741">
        <w:rPr>
          <w:szCs w:val="22"/>
        </w:rPr>
        <w:t xml:space="preserve">Im Hinblick auf eine ansprechende Straßenraumgestaltung sind Stützmauern und Einfriedigungen nur mit Abstand zur </w:t>
      </w:r>
      <w:r w:rsidR="005B24D4">
        <w:rPr>
          <w:szCs w:val="22"/>
        </w:rPr>
        <w:t>privaten</w:t>
      </w:r>
      <w:r w:rsidRPr="00500741">
        <w:rPr>
          <w:szCs w:val="22"/>
        </w:rPr>
        <w:t xml:space="preserve"> Verkehrsfläche zulässig. Damit sol</w:t>
      </w:r>
      <w:r w:rsidR="005B24D4">
        <w:rPr>
          <w:szCs w:val="22"/>
        </w:rPr>
        <w:t xml:space="preserve">len </w:t>
      </w:r>
      <w:r w:rsidRPr="00500741">
        <w:rPr>
          <w:szCs w:val="22"/>
        </w:rPr>
        <w:t xml:space="preserve"> kanalartige Verbauungen entlang der </w:t>
      </w:r>
      <w:r w:rsidR="00B9620B">
        <w:rPr>
          <w:szCs w:val="22"/>
        </w:rPr>
        <w:t>privaten Erschließungsstraße</w:t>
      </w:r>
      <w:r w:rsidRPr="00500741">
        <w:rPr>
          <w:szCs w:val="22"/>
        </w:rPr>
        <w:t xml:space="preserve"> vermie</w:t>
      </w:r>
      <w:r w:rsidR="00B9620B">
        <w:rPr>
          <w:szCs w:val="22"/>
        </w:rPr>
        <w:t>den we</w:t>
      </w:r>
      <w:r w:rsidR="00B9620B">
        <w:rPr>
          <w:szCs w:val="22"/>
        </w:rPr>
        <w:t>r</w:t>
      </w:r>
      <w:r w:rsidR="00B9620B">
        <w:rPr>
          <w:szCs w:val="22"/>
        </w:rPr>
        <w:t xml:space="preserve">den. </w:t>
      </w:r>
      <w:r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4"/>
        </w:numPr>
        <w:ind w:left="709" w:hanging="709"/>
        <w:rPr>
          <w:b/>
          <w:szCs w:val="22"/>
        </w:rPr>
      </w:pPr>
      <w:r>
        <w:rPr>
          <w:b/>
          <w:szCs w:val="22"/>
        </w:rPr>
        <w:t>Immissionsschutz</w:t>
      </w:r>
      <w:r>
        <w:rPr>
          <w:b/>
          <w:szCs w:val="22"/>
        </w:rPr>
        <w:br/>
      </w:r>
      <w:r>
        <w:rPr>
          <w:szCs w:val="22"/>
        </w:rPr>
        <w:t xml:space="preserve">Das Plangebiet ist </w:t>
      </w:r>
      <w:r w:rsidR="00B9620B">
        <w:rPr>
          <w:szCs w:val="22"/>
        </w:rPr>
        <w:t xml:space="preserve">im südlichen Bereich </w:t>
      </w:r>
      <w:r>
        <w:rPr>
          <w:szCs w:val="22"/>
        </w:rPr>
        <w:t xml:space="preserve">durch Immissionen der </w:t>
      </w:r>
      <w:r w:rsidR="00B9620B">
        <w:rPr>
          <w:szCs w:val="22"/>
        </w:rPr>
        <w:t>benachbarten lan</w:t>
      </w:r>
      <w:r w:rsidR="00B9620B">
        <w:rPr>
          <w:szCs w:val="22"/>
        </w:rPr>
        <w:t>d</w:t>
      </w:r>
      <w:r w:rsidR="00B9620B">
        <w:rPr>
          <w:szCs w:val="22"/>
        </w:rPr>
        <w:t>wirtschaftlichen Betriebe</w:t>
      </w:r>
      <w:r>
        <w:rPr>
          <w:szCs w:val="22"/>
        </w:rPr>
        <w:t xml:space="preserve"> vorbelastet. </w:t>
      </w:r>
      <w:r w:rsidR="00B9620B">
        <w:rPr>
          <w:szCs w:val="22"/>
        </w:rPr>
        <w:t xml:space="preserve">In diesem Bereich sind </w:t>
      </w:r>
      <w:r w:rsidR="00133E85">
        <w:rPr>
          <w:szCs w:val="22"/>
        </w:rPr>
        <w:t xml:space="preserve">deshalb </w:t>
      </w:r>
      <w:r w:rsidR="00B9620B">
        <w:rPr>
          <w:szCs w:val="22"/>
        </w:rPr>
        <w:t xml:space="preserve">nur Garagen und Nebengebäude zulässig. </w:t>
      </w:r>
      <w:r>
        <w:rPr>
          <w:szCs w:val="22"/>
        </w:rPr>
        <w:t xml:space="preserve"> </w:t>
      </w:r>
    </w:p>
    <w:p w:rsidR="000A67C5" w:rsidRPr="00500741" w:rsidRDefault="000A67C5" w:rsidP="000A67C5">
      <w:pPr>
        <w:rPr>
          <w:b/>
          <w:szCs w:val="22"/>
        </w:rPr>
      </w:pPr>
    </w:p>
    <w:p w:rsidR="000A67C5" w:rsidRPr="00500741" w:rsidRDefault="000A67C5" w:rsidP="000A67C5">
      <w:pPr>
        <w:pStyle w:val="Listenabsatz"/>
        <w:numPr>
          <w:ilvl w:val="0"/>
          <w:numId w:val="2"/>
        </w:numPr>
        <w:rPr>
          <w:b/>
          <w:szCs w:val="22"/>
        </w:rPr>
      </w:pPr>
      <w:r w:rsidRPr="00500741">
        <w:rPr>
          <w:b/>
          <w:szCs w:val="22"/>
        </w:rPr>
        <w:t>Vorbereitende Bauleitplanung</w:t>
      </w:r>
      <w:r w:rsidRPr="00500741">
        <w:rPr>
          <w:b/>
          <w:szCs w:val="22"/>
        </w:rPr>
        <w:br/>
      </w:r>
      <w:r w:rsidRPr="00500741">
        <w:rPr>
          <w:szCs w:val="22"/>
        </w:rPr>
        <w:t xml:space="preserve">Im Flächennutzungsplan ist der Planbereich </w:t>
      </w:r>
      <w:r w:rsidR="00B9620B">
        <w:rPr>
          <w:szCs w:val="22"/>
        </w:rPr>
        <w:t>größtenteils nicht zur Bebauung vorges</w:t>
      </w:r>
      <w:r w:rsidR="00B9620B">
        <w:rPr>
          <w:szCs w:val="22"/>
        </w:rPr>
        <w:t>e</w:t>
      </w:r>
      <w:r w:rsidR="00B9620B">
        <w:rPr>
          <w:szCs w:val="22"/>
        </w:rPr>
        <w:t xml:space="preserve">hen. </w:t>
      </w:r>
      <w:r w:rsidRPr="00500741">
        <w:rPr>
          <w:szCs w:val="22"/>
        </w:rPr>
        <w:t xml:space="preserve"> Der Bebauungsplan ist damit nicht aus dem Flächennutzungsplan entwickelt. Der Flächennutzungsplan wird gem. §§ 13 b i.V.m. 13 a BauGB im Wege der Berichtigung angepasst. </w:t>
      </w:r>
      <w:r w:rsidRPr="00500741"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2"/>
        </w:numPr>
        <w:rPr>
          <w:b/>
          <w:szCs w:val="22"/>
        </w:rPr>
      </w:pPr>
      <w:r w:rsidRPr="00500741">
        <w:rPr>
          <w:b/>
          <w:szCs w:val="22"/>
        </w:rPr>
        <w:t>Bestehende Rechtsverhältnisse</w:t>
      </w:r>
      <w:r w:rsidRPr="00500741">
        <w:rPr>
          <w:b/>
          <w:szCs w:val="22"/>
        </w:rPr>
        <w:br/>
      </w:r>
      <w:r w:rsidRPr="00500741">
        <w:rPr>
          <w:szCs w:val="22"/>
        </w:rPr>
        <w:t>Die Grundstücke des Planbereiches liegen</w:t>
      </w:r>
      <w:r w:rsidR="00B9620B">
        <w:rPr>
          <w:szCs w:val="22"/>
        </w:rPr>
        <w:t xml:space="preserve"> überwiegend</w:t>
      </w:r>
      <w:r w:rsidRPr="00500741">
        <w:rPr>
          <w:szCs w:val="22"/>
        </w:rPr>
        <w:t xml:space="preserve"> im Außenbereich nach § 35 BauGB.</w:t>
      </w:r>
      <w:r w:rsidR="00433151">
        <w:rPr>
          <w:szCs w:val="22"/>
        </w:rPr>
        <w:t xml:space="preserve"> Lediglich die Flst. 255/1, 255/2, 255/3, 255/4, 255/5 und 256/1 sind planung</w:t>
      </w:r>
      <w:r w:rsidR="00433151">
        <w:rPr>
          <w:szCs w:val="22"/>
        </w:rPr>
        <w:t>s</w:t>
      </w:r>
      <w:r w:rsidR="00433151">
        <w:rPr>
          <w:szCs w:val="22"/>
        </w:rPr>
        <w:lastRenderedPageBreak/>
        <w:t xml:space="preserve">rechtlich dem Innenbereich zuzuordnen. </w:t>
      </w:r>
      <w:r w:rsidRPr="00500741"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2"/>
        </w:numPr>
        <w:rPr>
          <w:b/>
          <w:szCs w:val="22"/>
        </w:rPr>
      </w:pPr>
      <w:r w:rsidRPr="00500741">
        <w:rPr>
          <w:b/>
          <w:szCs w:val="22"/>
        </w:rPr>
        <w:t>Plangebiet</w:t>
      </w:r>
      <w:r w:rsidRPr="00500741">
        <w:rPr>
          <w:b/>
          <w:szCs w:val="22"/>
        </w:rPr>
        <w:br/>
      </w:r>
      <w:r w:rsidRPr="00500741">
        <w:rPr>
          <w:szCs w:val="22"/>
        </w:rPr>
        <w:t xml:space="preserve">Der räumliche Geltungsbereich des Bebauungsplans </w:t>
      </w:r>
      <w:r>
        <w:rPr>
          <w:szCs w:val="22"/>
        </w:rPr>
        <w:t xml:space="preserve">beinhaltet die Flst </w:t>
      </w:r>
      <w:r w:rsidR="00363362">
        <w:rPr>
          <w:szCs w:val="22"/>
        </w:rPr>
        <w:t>255, 255/1, 255/2, 255/3, 255/4, 255/5, 256, 256/1, 257 und 268/1 (teilweise)</w:t>
      </w:r>
      <w:r>
        <w:rPr>
          <w:szCs w:val="22"/>
        </w:rPr>
        <w:t xml:space="preserve"> der Gemarkung </w:t>
      </w:r>
      <w:r w:rsidR="00363362">
        <w:rPr>
          <w:szCs w:val="22"/>
        </w:rPr>
        <w:t>La</w:t>
      </w:r>
      <w:r w:rsidR="00363362">
        <w:rPr>
          <w:szCs w:val="22"/>
        </w:rPr>
        <w:t>n</w:t>
      </w:r>
      <w:r w:rsidR="00363362">
        <w:rPr>
          <w:szCs w:val="22"/>
        </w:rPr>
        <w:t>genau</w:t>
      </w:r>
      <w:r>
        <w:rPr>
          <w:szCs w:val="22"/>
        </w:rPr>
        <w:t xml:space="preserve">. Er </w:t>
      </w:r>
      <w:r w:rsidRPr="00500741">
        <w:rPr>
          <w:szCs w:val="22"/>
        </w:rPr>
        <w:t>umfasst eine Flä</w:t>
      </w:r>
      <w:r w:rsidR="00363362">
        <w:rPr>
          <w:szCs w:val="22"/>
        </w:rPr>
        <w:t xml:space="preserve">che von ca. 3.918 m². </w:t>
      </w:r>
      <w:r w:rsidRPr="00500741">
        <w:rPr>
          <w:szCs w:val="22"/>
        </w:rPr>
        <w:t xml:space="preserve"> </w:t>
      </w:r>
      <w:r>
        <w:rPr>
          <w:szCs w:val="22"/>
        </w:rPr>
        <w:br/>
      </w:r>
      <w:r w:rsidRPr="00500741">
        <w:rPr>
          <w:szCs w:val="22"/>
        </w:rPr>
        <w:br/>
        <w:t>Bei einer Grundflächenzahl von 0,4 werden somit weniger als 10.000 m² überbaubare Fläche festgesetzt.</w:t>
      </w:r>
      <w:r w:rsidRPr="00500741"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2"/>
        </w:numPr>
        <w:rPr>
          <w:b/>
          <w:szCs w:val="22"/>
        </w:rPr>
      </w:pPr>
      <w:r w:rsidRPr="00500741">
        <w:rPr>
          <w:b/>
          <w:szCs w:val="22"/>
        </w:rPr>
        <w:t>Auswirkungen der Planung</w:t>
      </w:r>
      <w:r w:rsidRPr="00500741">
        <w:rPr>
          <w:b/>
          <w:szCs w:val="22"/>
        </w:rPr>
        <w:br/>
      </w:r>
    </w:p>
    <w:p w:rsidR="00363362" w:rsidRPr="00363362" w:rsidRDefault="000A67C5" w:rsidP="000A67C5">
      <w:pPr>
        <w:pStyle w:val="Listenabsatz"/>
        <w:numPr>
          <w:ilvl w:val="0"/>
          <w:numId w:val="5"/>
        </w:numPr>
        <w:rPr>
          <w:b/>
          <w:szCs w:val="22"/>
        </w:rPr>
      </w:pPr>
      <w:r w:rsidRPr="00500741">
        <w:rPr>
          <w:b/>
          <w:szCs w:val="22"/>
        </w:rPr>
        <w:t>Umweltprüfung</w:t>
      </w:r>
      <w:r w:rsidRPr="00500741">
        <w:rPr>
          <w:b/>
          <w:szCs w:val="22"/>
        </w:rPr>
        <w:br/>
      </w:r>
      <w:r w:rsidRPr="00500741">
        <w:rPr>
          <w:szCs w:val="22"/>
        </w:rPr>
        <w:t>Eine Umweltprüfung und ein Umweltbericht sind nicht erforderlich (§ 13 b i.V.m. § 13 a Abs. 2 Nr. 1 und § 13 Abs. 3 Satz 1 BauGB).</w:t>
      </w:r>
    </w:p>
    <w:p w:rsidR="000A67C5" w:rsidRPr="00500741" w:rsidRDefault="00363362" w:rsidP="00363362">
      <w:pPr>
        <w:pStyle w:val="Listenabsatz"/>
        <w:ind w:left="360"/>
        <w:rPr>
          <w:b/>
          <w:szCs w:val="22"/>
        </w:rPr>
      </w:pPr>
      <w:r>
        <w:rPr>
          <w:szCs w:val="22"/>
        </w:rPr>
        <w:t xml:space="preserve">Die Artenschutzprüfung hat ergeben, dass durch die Umsetzung des Bebauungsplanes keine Verschlechterung hinsichtlich des Artenschutzes entsteht. </w:t>
      </w:r>
      <w:r w:rsidR="000A67C5" w:rsidRPr="00500741">
        <w:rPr>
          <w:szCs w:val="22"/>
        </w:rPr>
        <w:br/>
      </w:r>
    </w:p>
    <w:p w:rsidR="00735439" w:rsidRPr="00735439" w:rsidRDefault="000A67C5" w:rsidP="000A67C5">
      <w:pPr>
        <w:pStyle w:val="Listenabsatz"/>
        <w:numPr>
          <w:ilvl w:val="0"/>
          <w:numId w:val="5"/>
        </w:numPr>
        <w:rPr>
          <w:b/>
          <w:szCs w:val="22"/>
        </w:rPr>
      </w:pPr>
      <w:r w:rsidRPr="00500741">
        <w:rPr>
          <w:b/>
          <w:szCs w:val="22"/>
        </w:rPr>
        <w:t>Erschließung</w:t>
      </w:r>
      <w:r w:rsidRPr="00500741">
        <w:rPr>
          <w:b/>
          <w:szCs w:val="22"/>
        </w:rPr>
        <w:br/>
      </w:r>
      <w:r w:rsidR="00787B43">
        <w:rPr>
          <w:szCs w:val="22"/>
        </w:rPr>
        <w:t>Die Erschließung des Planbereichs</w:t>
      </w:r>
      <w:r w:rsidR="00363362">
        <w:rPr>
          <w:szCs w:val="22"/>
        </w:rPr>
        <w:t xml:space="preserve"> erfolgt durch eine Privatstraße, in der auch die erfo</w:t>
      </w:r>
      <w:r w:rsidR="00363362">
        <w:rPr>
          <w:szCs w:val="22"/>
        </w:rPr>
        <w:t>r</w:t>
      </w:r>
      <w:r w:rsidR="00363362">
        <w:rPr>
          <w:szCs w:val="22"/>
        </w:rPr>
        <w:t xml:space="preserve">derlichen Ver- und Entsorgungsleitungen untergebracht werden. </w:t>
      </w:r>
    </w:p>
    <w:p w:rsidR="000A67C5" w:rsidRPr="00735439" w:rsidRDefault="00735439" w:rsidP="00735439">
      <w:pPr>
        <w:pStyle w:val="Listenabsatz"/>
        <w:ind w:left="360"/>
        <w:rPr>
          <w:b/>
          <w:szCs w:val="22"/>
        </w:rPr>
      </w:pPr>
      <w:r>
        <w:rPr>
          <w:szCs w:val="22"/>
        </w:rPr>
        <w:t xml:space="preserve">Von der Stadt zu finanzierende Erschließungskosten fallen somit nicht an. </w:t>
      </w:r>
      <w:r w:rsidR="000A67C5" w:rsidRPr="00735439"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5"/>
        </w:numPr>
        <w:rPr>
          <w:b/>
          <w:szCs w:val="22"/>
        </w:rPr>
      </w:pPr>
      <w:r w:rsidRPr="00500741">
        <w:rPr>
          <w:b/>
          <w:szCs w:val="22"/>
        </w:rPr>
        <w:t>Ver- und Entsorgung</w:t>
      </w:r>
      <w:r w:rsidRPr="00500741">
        <w:rPr>
          <w:b/>
          <w:szCs w:val="22"/>
        </w:rPr>
        <w:br/>
      </w:r>
      <w:r w:rsidR="00735439">
        <w:rPr>
          <w:szCs w:val="22"/>
        </w:rPr>
        <w:t xml:space="preserve">Die Versorgung mit Trinkwasser, Strom, </w:t>
      </w:r>
      <w:r w:rsidRPr="00500741">
        <w:rPr>
          <w:szCs w:val="22"/>
        </w:rPr>
        <w:t xml:space="preserve">Gas und Telekommunikation erfolgt </w:t>
      </w:r>
      <w:r w:rsidR="00735439">
        <w:rPr>
          <w:szCs w:val="22"/>
        </w:rPr>
        <w:t xml:space="preserve">auf privater Basis </w:t>
      </w:r>
      <w:r w:rsidRPr="00500741">
        <w:rPr>
          <w:szCs w:val="22"/>
        </w:rPr>
        <w:t>durch die örtlichen Versorgungsunternehmen. Zur Abwasserbeseitigung sind im Zuge der Erschließungsmaßnahmen</w:t>
      </w:r>
      <w:r w:rsidR="00735439">
        <w:rPr>
          <w:szCs w:val="22"/>
        </w:rPr>
        <w:t xml:space="preserve"> private</w:t>
      </w:r>
      <w:r w:rsidRPr="00500741">
        <w:rPr>
          <w:szCs w:val="22"/>
        </w:rPr>
        <w:t xml:space="preserve"> Entwässerungskanäle zu verlegen.  </w:t>
      </w:r>
      <w:r w:rsidRPr="00500741"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5"/>
        </w:numPr>
        <w:rPr>
          <w:b/>
          <w:szCs w:val="22"/>
        </w:rPr>
      </w:pPr>
      <w:r w:rsidRPr="00500741">
        <w:rPr>
          <w:b/>
          <w:szCs w:val="22"/>
        </w:rPr>
        <w:t>Eingriffs- und Ausgleichsbilanzierung</w:t>
      </w:r>
      <w:r w:rsidRPr="00500741">
        <w:rPr>
          <w:b/>
          <w:szCs w:val="22"/>
        </w:rPr>
        <w:br/>
      </w:r>
      <w:r w:rsidRPr="00500741">
        <w:rPr>
          <w:szCs w:val="22"/>
        </w:rPr>
        <w:t>Die Umsetzung des Bebauungsplans stellt keinen naturschutzrechtlichen Eingriff dar</w:t>
      </w:r>
      <w:r>
        <w:rPr>
          <w:szCs w:val="22"/>
        </w:rPr>
        <w:br/>
      </w:r>
      <w:r w:rsidRPr="00500741">
        <w:rPr>
          <w:szCs w:val="22"/>
        </w:rPr>
        <w:t>(§ 13 b i.V.m. § 13 a Abs. 2 Nr. 4 BauGB).</w:t>
      </w:r>
      <w:r w:rsidRPr="00500741">
        <w:rPr>
          <w:szCs w:val="22"/>
        </w:rPr>
        <w:br/>
      </w:r>
    </w:p>
    <w:p w:rsidR="000A67C5" w:rsidRPr="00500741" w:rsidRDefault="000A67C5" w:rsidP="000A67C5">
      <w:pPr>
        <w:pStyle w:val="Listenabsatz"/>
        <w:numPr>
          <w:ilvl w:val="0"/>
          <w:numId w:val="5"/>
        </w:numPr>
        <w:rPr>
          <w:b/>
          <w:szCs w:val="22"/>
        </w:rPr>
      </w:pPr>
      <w:r w:rsidRPr="00500741">
        <w:rPr>
          <w:b/>
          <w:szCs w:val="22"/>
        </w:rPr>
        <w:t>Bodenordnung</w:t>
      </w:r>
      <w:r w:rsidRPr="00500741">
        <w:rPr>
          <w:b/>
          <w:szCs w:val="22"/>
        </w:rPr>
        <w:br/>
      </w:r>
      <w:r w:rsidRPr="00500741">
        <w:rPr>
          <w:szCs w:val="22"/>
        </w:rPr>
        <w:t>Ein förmliches Umlegun</w:t>
      </w:r>
      <w:r w:rsidR="00735439">
        <w:rPr>
          <w:szCs w:val="22"/>
        </w:rPr>
        <w:t xml:space="preserve">gsverfahren ist nicht notwendig. </w:t>
      </w:r>
      <w:r w:rsidRPr="00500741">
        <w:rPr>
          <w:szCs w:val="22"/>
        </w:rPr>
        <w:t xml:space="preserve"> Eine Neuaufteilung der Grun</w:t>
      </w:r>
      <w:r w:rsidRPr="00500741">
        <w:rPr>
          <w:szCs w:val="22"/>
        </w:rPr>
        <w:t>d</w:t>
      </w:r>
      <w:r w:rsidRPr="00500741">
        <w:rPr>
          <w:szCs w:val="22"/>
        </w:rPr>
        <w:t>stücke erfolgt entsprechend der städtebaulichen Planung und der Baumöglichkei</w:t>
      </w:r>
      <w:r w:rsidR="00735439">
        <w:rPr>
          <w:szCs w:val="22"/>
        </w:rPr>
        <w:t>ten durch den Grundstückseigentümer.</w:t>
      </w:r>
    </w:p>
    <w:p w:rsidR="000A67C5" w:rsidRPr="00500741" w:rsidRDefault="000A67C5" w:rsidP="000A67C5">
      <w:pPr>
        <w:rPr>
          <w:szCs w:val="22"/>
        </w:rPr>
      </w:pPr>
    </w:p>
    <w:p w:rsidR="000A67C5" w:rsidRPr="00735439" w:rsidRDefault="000A67C5" w:rsidP="000A67C5">
      <w:pPr>
        <w:pStyle w:val="Listenabsatz"/>
        <w:numPr>
          <w:ilvl w:val="0"/>
          <w:numId w:val="6"/>
        </w:numPr>
        <w:rPr>
          <w:b/>
          <w:szCs w:val="22"/>
        </w:rPr>
      </w:pPr>
      <w:r w:rsidRPr="00735439">
        <w:rPr>
          <w:b/>
          <w:szCs w:val="22"/>
        </w:rPr>
        <w:t>Finanzierung</w:t>
      </w:r>
      <w:r w:rsidRPr="00735439">
        <w:rPr>
          <w:b/>
          <w:szCs w:val="22"/>
        </w:rPr>
        <w:br/>
      </w:r>
      <w:r w:rsidR="00735439">
        <w:rPr>
          <w:szCs w:val="22"/>
        </w:rPr>
        <w:t xml:space="preserve">Von der Stadt für Erschließung und Kanalisation zu übernehmenden Kosten fallen nicht an. </w:t>
      </w:r>
    </w:p>
    <w:p w:rsidR="000A67C5" w:rsidRDefault="000A67C5" w:rsidP="000A67C5">
      <w:pPr>
        <w:rPr>
          <w:szCs w:val="22"/>
        </w:rPr>
      </w:pPr>
    </w:p>
    <w:p w:rsidR="000A67C5" w:rsidRPr="00500741" w:rsidRDefault="00735439" w:rsidP="000A67C5">
      <w:pPr>
        <w:rPr>
          <w:szCs w:val="22"/>
        </w:rPr>
      </w:pPr>
      <w:r>
        <w:rPr>
          <w:szCs w:val="22"/>
        </w:rPr>
        <w:t>Langenau</w:t>
      </w:r>
      <w:r w:rsidR="000A67C5" w:rsidRPr="00500741">
        <w:rPr>
          <w:szCs w:val="22"/>
        </w:rPr>
        <w:t xml:space="preserve">, den </w:t>
      </w:r>
      <w:r>
        <w:rPr>
          <w:szCs w:val="22"/>
        </w:rPr>
        <w:t>06.09.2018</w:t>
      </w:r>
    </w:p>
    <w:p w:rsidR="00735439" w:rsidRDefault="00735439" w:rsidP="000A67C5">
      <w:pPr>
        <w:rPr>
          <w:szCs w:val="22"/>
        </w:rPr>
      </w:pPr>
    </w:p>
    <w:p w:rsidR="000A67C5" w:rsidRDefault="000A67C5" w:rsidP="000A67C5">
      <w:pPr>
        <w:rPr>
          <w:szCs w:val="22"/>
        </w:rPr>
      </w:pPr>
      <w:r w:rsidRPr="00500741">
        <w:rPr>
          <w:szCs w:val="22"/>
        </w:rPr>
        <w:tab/>
      </w:r>
      <w:r w:rsidRPr="00500741">
        <w:rPr>
          <w:szCs w:val="22"/>
        </w:rPr>
        <w:tab/>
      </w:r>
      <w:r w:rsidRPr="00500741">
        <w:rPr>
          <w:szCs w:val="22"/>
        </w:rPr>
        <w:tab/>
      </w:r>
    </w:p>
    <w:p w:rsidR="00735439" w:rsidRPr="00735439" w:rsidRDefault="00735439" w:rsidP="000A67C5">
      <w:pPr>
        <w:rPr>
          <w:sz w:val="18"/>
          <w:szCs w:val="18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35439">
        <w:rPr>
          <w:sz w:val="18"/>
          <w:szCs w:val="18"/>
        </w:rPr>
        <w:t>DS</w:t>
      </w:r>
    </w:p>
    <w:p w:rsidR="00735439" w:rsidRDefault="00735439" w:rsidP="000A67C5">
      <w:pPr>
        <w:rPr>
          <w:szCs w:val="22"/>
        </w:rPr>
      </w:pPr>
    </w:p>
    <w:p w:rsidR="00735439" w:rsidRDefault="00735439" w:rsidP="000A67C5">
      <w:pPr>
        <w:rPr>
          <w:szCs w:val="22"/>
        </w:rPr>
      </w:pPr>
    </w:p>
    <w:p w:rsidR="00735439" w:rsidRDefault="00735439" w:rsidP="000A67C5">
      <w:pPr>
        <w:rPr>
          <w:szCs w:val="22"/>
        </w:rPr>
      </w:pPr>
      <w:r>
        <w:rPr>
          <w:szCs w:val="22"/>
        </w:rPr>
        <w:t>Salemi</w:t>
      </w:r>
    </w:p>
    <w:p w:rsidR="00735439" w:rsidRDefault="00735439" w:rsidP="000A67C5">
      <w:pPr>
        <w:rPr>
          <w:sz w:val="16"/>
          <w:szCs w:val="16"/>
        </w:rPr>
      </w:pPr>
      <w:r>
        <w:rPr>
          <w:szCs w:val="22"/>
        </w:rPr>
        <w:t>Bürgermeister</w:t>
      </w:r>
    </w:p>
    <w:p w:rsidR="000A67C5" w:rsidRDefault="000A67C5" w:rsidP="000A67C5">
      <w:pPr>
        <w:rPr>
          <w:szCs w:val="22"/>
        </w:rPr>
      </w:pPr>
    </w:p>
    <w:p w:rsidR="000A67C5" w:rsidRPr="000A67C5" w:rsidRDefault="000A67C5">
      <w:pPr>
        <w:jc w:val="center"/>
        <w:rPr>
          <w:b/>
          <w:sz w:val="24"/>
        </w:rPr>
      </w:pPr>
    </w:p>
    <w:sectPr w:rsidR="000A67C5" w:rsidRPr="000A67C5"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A0" w:rsidRDefault="008F66A0">
      <w:pPr>
        <w:spacing w:line="240" w:lineRule="auto"/>
      </w:pPr>
      <w:r>
        <w:separator/>
      </w:r>
    </w:p>
  </w:endnote>
  <w:endnote w:type="continuationSeparator" w:id="0">
    <w:p w:rsidR="008F66A0" w:rsidRDefault="008F6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F6" w:rsidRDefault="00C80233">
    <w:pPr>
      <w:pStyle w:val="Fuzeile"/>
      <w:tabs>
        <w:tab w:val="clear" w:pos="4536"/>
      </w:tabs>
      <w:rPr>
        <w:sz w:val="16"/>
      </w:rPr>
    </w:pP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030F16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030F16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A0" w:rsidRDefault="008F66A0">
      <w:pPr>
        <w:spacing w:line="240" w:lineRule="auto"/>
      </w:pPr>
      <w:r>
        <w:separator/>
      </w:r>
    </w:p>
  </w:footnote>
  <w:footnote w:type="continuationSeparator" w:id="0">
    <w:p w:rsidR="008F66A0" w:rsidRDefault="008F6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6005"/>
    <w:multiLevelType w:val="hybridMultilevel"/>
    <w:tmpl w:val="A7BA242A"/>
    <w:lvl w:ilvl="0" w:tplc="CFDCD47E">
      <w:start w:val="1"/>
      <w:numFmt w:val="decimal"/>
      <w:lvlText w:val="3.%1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73DFB"/>
    <w:multiLevelType w:val="hybridMultilevel"/>
    <w:tmpl w:val="EB84D98E"/>
    <w:lvl w:ilvl="0" w:tplc="99585AFA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5DC6"/>
    <w:multiLevelType w:val="hybridMultilevel"/>
    <w:tmpl w:val="6212E524"/>
    <w:lvl w:ilvl="0" w:tplc="33AE2B76">
      <w:start w:val="1"/>
      <w:numFmt w:val="decimal"/>
      <w:lvlText w:val="7.%1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339D8"/>
    <w:multiLevelType w:val="hybridMultilevel"/>
    <w:tmpl w:val="5114D20C"/>
    <w:lvl w:ilvl="0" w:tplc="0E902D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695084"/>
    <w:multiLevelType w:val="hybridMultilevel"/>
    <w:tmpl w:val="3FCC0570"/>
    <w:lvl w:ilvl="0" w:tplc="4C3271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3371F9"/>
    <w:multiLevelType w:val="hybridMultilevel"/>
    <w:tmpl w:val="77E2A36E"/>
    <w:lvl w:ilvl="0" w:tplc="D66A559A">
      <w:start w:val="1"/>
      <w:numFmt w:val="decimal"/>
      <w:lvlText w:val="3.6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CE"/>
    <w:rsid w:val="00030F16"/>
    <w:rsid w:val="00063DEE"/>
    <w:rsid w:val="000A67C5"/>
    <w:rsid w:val="00133E85"/>
    <w:rsid w:val="0018046B"/>
    <w:rsid w:val="00264CE2"/>
    <w:rsid w:val="00310DEA"/>
    <w:rsid w:val="00363362"/>
    <w:rsid w:val="00423272"/>
    <w:rsid w:val="00433151"/>
    <w:rsid w:val="00583038"/>
    <w:rsid w:val="005B24D4"/>
    <w:rsid w:val="006833DF"/>
    <w:rsid w:val="006E1108"/>
    <w:rsid w:val="00703E99"/>
    <w:rsid w:val="00735439"/>
    <w:rsid w:val="007804C3"/>
    <w:rsid w:val="00787B43"/>
    <w:rsid w:val="008F66A0"/>
    <w:rsid w:val="00A05199"/>
    <w:rsid w:val="00AE0BF6"/>
    <w:rsid w:val="00B03BF6"/>
    <w:rsid w:val="00B9620B"/>
    <w:rsid w:val="00BA3FCE"/>
    <w:rsid w:val="00C20D37"/>
    <w:rsid w:val="00C311ED"/>
    <w:rsid w:val="00C80233"/>
    <w:rsid w:val="00D04E0C"/>
    <w:rsid w:val="00D7674D"/>
    <w:rsid w:val="00DD2A9D"/>
    <w:rsid w:val="00E1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0A67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0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0A67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0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2E40-256A-48B1-AD84-89285777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                    </vt:lpstr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                    </dc:title>
  <dc:subject/>
  <dc:creator>VVL</dc:creator>
  <cp:keywords/>
  <dc:description/>
  <cp:lastModifiedBy>Unseld, Marianne, VVL</cp:lastModifiedBy>
  <cp:revision>2</cp:revision>
  <cp:lastPrinted>2018-10-08T13:03:00Z</cp:lastPrinted>
  <dcterms:created xsi:type="dcterms:W3CDTF">2018-10-09T08:39:00Z</dcterms:created>
  <dcterms:modified xsi:type="dcterms:W3CDTF">2018-10-09T08:39:00Z</dcterms:modified>
</cp:coreProperties>
</file>