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385" w:rsidRDefault="00081385" w:rsidP="005734B4">
      <w:pPr>
        <w:spacing w:after="0" w:line="240" w:lineRule="auto"/>
        <w:ind w:left="360" w:hanging="360"/>
        <w:jc w:val="center"/>
        <w:rPr>
          <w:rFonts w:ascii="Arial" w:hAnsi="Arial" w:cs="Arial"/>
          <w:b/>
          <w:sz w:val="36"/>
          <w:u w:val="single"/>
        </w:rPr>
      </w:pPr>
      <w:r w:rsidRPr="005734B4">
        <w:rPr>
          <w:rFonts w:ascii="Arial" w:hAnsi="Arial" w:cs="Arial"/>
          <w:b/>
          <w:sz w:val="36"/>
          <w:u w:val="single"/>
        </w:rPr>
        <w:t>Eignungsmatrix</w:t>
      </w:r>
    </w:p>
    <w:p w:rsidR="00DB3C9C" w:rsidRPr="00DB3C9C" w:rsidRDefault="00DB3C9C" w:rsidP="005734B4">
      <w:pPr>
        <w:spacing w:after="0" w:line="240" w:lineRule="auto"/>
        <w:ind w:left="360" w:hanging="360"/>
        <w:jc w:val="center"/>
        <w:rPr>
          <w:rFonts w:ascii="Arial" w:hAnsi="Arial" w:cs="Arial"/>
          <w:b/>
          <w:u w:val="single"/>
        </w:rPr>
      </w:pPr>
    </w:p>
    <w:p w:rsidR="00081385" w:rsidRPr="00BD6260" w:rsidRDefault="00081385" w:rsidP="00081385">
      <w:pPr>
        <w:spacing w:after="0" w:line="240" w:lineRule="auto"/>
        <w:rPr>
          <w:rFonts w:ascii="Arial" w:eastAsia="Times New Roman" w:hAnsi="Arial" w:cs="Arial"/>
          <w:b/>
          <w:bCs/>
          <w:color w:val="000000"/>
          <w:u w:val="single"/>
          <w:lang w:eastAsia="de-DE"/>
        </w:rPr>
      </w:pPr>
    </w:p>
    <w:p w:rsidR="00FC5DAE" w:rsidRPr="00BD6260" w:rsidRDefault="00FC5DAE" w:rsidP="005734B4">
      <w:pPr>
        <w:pStyle w:val="Listenabsatz"/>
        <w:numPr>
          <w:ilvl w:val="0"/>
          <w:numId w:val="2"/>
        </w:numPr>
        <w:spacing w:after="0" w:line="240" w:lineRule="auto"/>
        <w:rPr>
          <w:rFonts w:ascii="Arial" w:eastAsia="Times New Roman" w:hAnsi="Arial" w:cs="Arial"/>
          <w:b/>
          <w:bCs/>
          <w:color w:val="000000"/>
          <w:u w:val="single"/>
          <w:lang w:eastAsia="de-DE"/>
        </w:rPr>
      </w:pPr>
      <w:r w:rsidRPr="00BD6260">
        <w:rPr>
          <w:rFonts w:ascii="Arial" w:eastAsia="Times New Roman" w:hAnsi="Arial" w:cs="Arial"/>
          <w:b/>
          <w:bCs/>
          <w:color w:val="000000"/>
          <w:u w:val="single"/>
          <w:lang w:eastAsia="de-DE"/>
        </w:rPr>
        <w:t>Mindestanforderungen der Eignung</w:t>
      </w:r>
    </w:p>
    <w:p w:rsidR="00FC5DAE" w:rsidRDefault="00FC5DAE" w:rsidP="005734B4">
      <w:pPr>
        <w:spacing w:after="0" w:line="240" w:lineRule="auto"/>
        <w:rPr>
          <w:rFonts w:ascii="Arial" w:eastAsia="Times New Roman" w:hAnsi="Arial" w:cs="Arial"/>
          <w:b/>
          <w:bCs/>
          <w:color w:val="000000"/>
          <w:u w:val="single"/>
          <w:lang w:eastAsia="de-DE"/>
        </w:rPr>
      </w:pPr>
    </w:p>
    <w:p w:rsidR="005734B4" w:rsidRPr="00BD6260" w:rsidRDefault="005734B4" w:rsidP="005734B4">
      <w:pPr>
        <w:spacing w:after="0" w:line="240" w:lineRule="auto"/>
        <w:rPr>
          <w:rFonts w:ascii="Arial" w:eastAsia="Times New Roman" w:hAnsi="Arial" w:cs="Arial"/>
          <w:b/>
          <w:bCs/>
          <w:color w:val="000000"/>
          <w:u w:val="single"/>
          <w:lang w:eastAsia="de-DE"/>
        </w:rPr>
      </w:pPr>
    </w:p>
    <w:p w:rsidR="005734B4" w:rsidRDefault="00FC5DAE" w:rsidP="005734B4">
      <w:pPr>
        <w:spacing w:after="0" w:line="240" w:lineRule="auto"/>
        <w:rPr>
          <w:rFonts w:ascii="Arial" w:eastAsia="Times New Roman" w:hAnsi="Arial" w:cs="Arial"/>
          <w:bCs/>
          <w:color w:val="000000"/>
          <w:u w:val="single"/>
          <w:lang w:eastAsia="de-DE"/>
        </w:rPr>
      </w:pPr>
      <w:proofErr w:type="spellStart"/>
      <w:r w:rsidRPr="00FC5DAE">
        <w:rPr>
          <w:rFonts w:ascii="Arial" w:eastAsia="Times New Roman" w:hAnsi="Arial" w:cs="Arial"/>
          <w:bCs/>
          <w:color w:val="000000"/>
          <w:u w:val="single"/>
          <w:lang w:eastAsia="de-DE"/>
        </w:rPr>
        <w:t>Berufshaftplichtversicherung</w:t>
      </w:r>
      <w:proofErr w:type="spellEnd"/>
    </w:p>
    <w:p w:rsidR="005734B4" w:rsidRDefault="00FC5DAE" w:rsidP="005734B4">
      <w:pPr>
        <w:spacing w:after="0" w:line="240" w:lineRule="auto"/>
        <w:rPr>
          <w:rFonts w:ascii="Arial" w:eastAsia="Times New Roman" w:hAnsi="Arial" w:cs="Arial"/>
          <w:color w:val="000000"/>
          <w:lang w:eastAsia="de-DE"/>
        </w:rPr>
      </w:pPr>
      <w:r w:rsidRPr="00FC5DAE">
        <w:rPr>
          <w:rFonts w:ascii="Arial" w:eastAsia="Times New Roman" w:hAnsi="Arial" w:cs="Arial"/>
          <w:b/>
          <w:bCs/>
          <w:color w:val="000000"/>
          <w:lang w:eastAsia="de-DE"/>
        </w:rPr>
        <w:br/>
      </w:r>
      <w:r w:rsidRPr="00FC5DAE">
        <w:rPr>
          <w:rFonts w:ascii="Arial" w:eastAsia="Times New Roman" w:hAnsi="Arial" w:cs="Arial"/>
          <w:color w:val="000000"/>
          <w:lang w:eastAsia="de-DE"/>
        </w:rPr>
        <w:t>Es ist eine Berufshaftpflichtversicherung mit einer Deckungssumme für Personenschäden von 3.000.000,- EUR und einer Deckungssumme von 2.000.000,- EUR je Schadensfall bei einem, in einem Mitgliedstaat der EU oder eines Vertragsstaates des Abkommens über den Europäischen Wirtschaftsraum zugelassenen Versicherungsunternehmens vor Vertragsschluss abzuschließen und nachzuweisen.</w:t>
      </w:r>
    </w:p>
    <w:p w:rsidR="005734B4" w:rsidRDefault="005734B4" w:rsidP="005734B4">
      <w:pPr>
        <w:spacing w:after="0" w:line="240" w:lineRule="auto"/>
        <w:rPr>
          <w:rFonts w:ascii="Arial" w:eastAsia="Times New Roman" w:hAnsi="Arial" w:cs="Arial"/>
          <w:color w:val="000000"/>
          <w:lang w:eastAsia="de-DE"/>
        </w:rPr>
      </w:pPr>
    </w:p>
    <w:p w:rsidR="00FC5DAE" w:rsidRPr="00BD6260" w:rsidRDefault="00FC5DAE" w:rsidP="005734B4">
      <w:pPr>
        <w:spacing w:after="0" w:line="240" w:lineRule="auto"/>
        <w:rPr>
          <w:rFonts w:ascii="Arial" w:eastAsia="Times New Roman" w:hAnsi="Arial" w:cs="Arial"/>
          <w:b/>
          <w:bCs/>
          <w:color w:val="000000"/>
          <w:lang w:eastAsia="de-DE"/>
        </w:rPr>
      </w:pPr>
      <w:r w:rsidRPr="00FC5DAE">
        <w:rPr>
          <w:rFonts w:ascii="Arial" w:eastAsia="Times New Roman" w:hAnsi="Arial" w:cs="Arial"/>
          <w:color w:val="000000"/>
          <w:lang w:eastAsia="de-DE"/>
        </w:rPr>
        <w:t>Die Berufshaftpflichtversicherung muss während der gesamten Vertragszeit unterhalten und nachgewiesen werden. Es ist zu gewährleisten, dass zur Deckung eines Schadens aus dem Vertrag Versicherungsschutz in Höhe der genannten Deckungssummen besteht. In jedem Fall ist der Nachweis zu erbringen, dass die Maximierung der Ersatzleistung pro Versicherungsjahr mindestens das Zweifache der Deckungssumme beträgt.</w:t>
      </w:r>
      <w:r w:rsidRPr="00FC5DAE">
        <w:rPr>
          <w:rFonts w:ascii="Arial" w:eastAsia="Times New Roman" w:hAnsi="Arial" w:cs="Arial"/>
          <w:color w:val="000000"/>
          <w:lang w:eastAsia="de-DE"/>
        </w:rPr>
        <w:br/>
      </w:r>
      <w:r w:rsidRPr="00FC5DAE">
        <w:rPr>
          <w:rFonts w:ascii="Arial" w:eastAsia="Times New Roman" w:hAnsi="Arial" w:cs="Arial"/>
          <w:color w:val="000000"/>
          <w:lang w:eastAsia="de-DE"/>
        </w:rPr>
        <w:br/>
        <w:t>Die geforderte Sicherheit kann auch durch eine Erklärung des Versicherungsunternehmens erfüllt werden, mit dieses den Abschluss der geforderten Haftpflichtleistungen und Deckungsnachweise im Auftragsfall zusichert.</w:t>
      </w:r>
      <w:r w:rsidRPr="00FC5DAE">
        <w:rPr>
          <w:rFonts w:ascii="Arial" w:eastAsia="Times New Roman" w:hAnsi="Arial" w:cs="Arial"/>
          <w:b/>
          <w:bCs/>
          <w:color w:val="000000"/>
          <w:lang w:eastAsia="de-DE"/>
        </w:rPr>
        <w:br/>
      </w:r>
      <w:r w:rsidRPr="00FC5DAE">
        <w:rPr>
          <w:rFonts w:ascii="Arial" w:eastAsia="Times New Roman" w:hAnsi="Arial" w:cs="Arial"/>
          <w:color w:val="000000"/>
          <w:lang w:eastAsia="de-DE"/>
        </w:rPr>
        <w:br/>
        <w:t>Bei Versicherungsverträgen mit Pauschaldeckung (also ohne Unterscheidung nach Sach- und Personenschäden) ist eine Erklärung des Versicherungsunternehmens erforderlich, dass beide Schadenskategorien im Auftragsfall nebeneinander mit den geforderten Deckungssummen abgesichert sind.</w:t>
      </w:r>
    </w:p>
    <w:p w:rsidR="005734B4" w:rsidRPr="00BD6260" w:rsidRDefault="005734B4" w:rsidP="00DB3C9C">
      <w:pPr>
        <w:spacing w:line="240" w:lineRule="auto"/>
        <w:rPr>
          <w:rFonts w:ascii="Arial" w:hAnsi="Arial" w:cs="Arial"/>
        </w:rPr>
      </w:pPr>
    </w:p>
    <w:p w:rsidR="00FC5DAE" w:rsidRPr="00BD6260" w:rsidRDefault="00FC5DAE" w:rsidP="005734B4">
      <w:pPr>
        <w:spacing w:after="0" w:line="240" w:lineRule="auto"/>
        <w:rPr>
          <w:rFonts w:ascii="Arial" w:eastAsia="Times New Roman" w:hAnsi="Arial" w:cs="Arial"/>
          <w:bCs/>
          <w:color w:val="000000"/>
          <w:u w:val="single"/>
          <w:lang w:eastAsia="de-DE"/>
        </w:rPr>
      </w:pPr>
      <w:r w:rsidRPr="00FC5DAE">
        <w:rPr>
          <w:rFonts w:ascii="Arial" w:eastAsia="Times New Roman" w:hAnsi="Arial" w:cs="Arial"/>
          <w:bCs/>
          <w:color w:val="000000"/>
          <w:u w:val="single"/>
          <w:lang w:eastAsia="de-DE"/>
        </w:rPr>
        <w:t>Ausgefüllter Bewerberbogen</w:t>
      </w:r>
    </w:p>
    <w:p w:rsidR="00FC5DAE" w:rsidRPr="00BD6260" w:rsidRDefault="00FC5DAE" w:rsidP="005734B4">
      <w:pPr>
        <w:spacing w:line="240" w:lineRule="auto"/>
        <w:rPr>
          <w:rFonts w:ascii="Arial" w:hAnsi="Arial" w:cs="Arial"/>
        </w:rPr>
      </w:pPr>
    </w:p>
    <w:p w:rsidR="00DB3C9C" w:rsidRPr="00DB3C9C" w:rsidRDefault="00FC5DAE" w:rsidP="00DB3C9C">
      <w:pPr>
        <w:spacing w:line="240" w:lineRule="auto"/>
        <w:rPr>
          <w:rFonts w:ascii="Arial" w:eastAsia="Times New Roman" w:hAnsi="Arial" w:cs="Arial"/>
          <w:bCs/>
          <w:color w:val="000000"/>
          <w:u w:val="single"/>
          <w:lang w:eastAsia="de-DE"/>
        </w:rPr>
      </w:pPr>
      <w:r w:rsidRPr="00FC5DAE">
        <w:rPr>
          <w:rFonts w:ascii="Arial" w:eastAsia="Times New Roman" w:hAnsi="Arial" w:cs="Arial"/>
          <w:bCs/>
          <w:color w:val="000000"/>
          <w:u w:val="single"/>
          <w:lang w:eastAsia="de-DE"/>
        </w:rPr>
        <w:t>Durchschnittlicher Mindestjahresumsatz</w:t>
      </w:r>
    </w:p>
    <w:p w:rsidR="00FC5DAE" w:rsidRPr="00DB3C9C" w:rsidRDefault="00FC5DAE" w:rsidP="00DB3C9C">
      <w:pPr>
        <w:spacing w:line="240" w:lineRule="auto"/>
        <w:rPr>
          <w:rFonts w:ascii="Arial" w:eastAsia="Times New Roman" w:hAnsi="Arial" w:cs="Arial"/>
          <w:bCs/>
          <w:color w:val="000000"/>
          <w:u w:val="single"/>
          <w:lang w:eastAsia="de-DE"/>
        </w:rPr>
      </w:pPr>
      <w:r w:rsidRPr="00FC5DAE">
        <w:rPr>
          <w:rFonts w:ascii="Arial" w:eastAsia="Times New Roman" w:hAnsi="Arial" w:cs="Arial"/>
          <w:color w:val="000000"/>
          <w:lang w:eastAsia="de-DE"/>
        </w:rPr>
        <w:t>in dem Tätigkeitsbereich des Auftrags (Planungsleistungen im Bereich der Objektplanung</w:t>
      </w:r>
      <w:r w:rsidRPr="00FC5DAE">
        <w:rPr>
          <w:rFonts w:ascii="Arial" w:eastAsia="Times New Roman" w:hAnsi="Arial" w:cs="Arial"/>
          <w:lang w:eastAsia="de-DE"/>
        </w:rPr>
        <w:t xml:space="preserve">) in den letzten drei Geschäftsjahren (2018 bis 2020) von 300.000,- </w:t>
      </w:r>
      <w:r w:rsidRPr="00FC5DAE">
        <w:rPr>
          <w:rFonts w:ascii="Arial" w:eastAsia="Times New Roman" w:hAnsi="Arial" w:cs="Arial"/>
          <w:color w:val="000000"/>
          <w:lang w:eastAsia="de-DE"/>
        </w:rPr>
        <w:t>EUR</w:t>
      </w:r>
      <w:r w:rsidRPr="00FC5DAE">
        <w:rPr>
          <w:rFonts w:ascii="Arial" w:eastAsia="Times New Roman" w:hAnsi="Arial" w:cs="Arial"/>
          <w:b/>
          <w:bCs/>
          <w:color w:val="000000"/>
          <w:lang w:eastAsia="de-DE"/>
        </w:rPr>
        <w:t xml:space="preserve"> </w:t>
      </w:r>
      <w:r w:rsidRPr="00FC5DAE">
        <w:rPr>
          <w:rFonts w:ascii="Arial" w:eastAsia="Times New Roman" w:hAnsi="Arial" w:cs="Arial"/>
          <w:color w:val="000000"/>
          <w:lang w:eastAsia="de-DE"/>
        </w:rPr>
        <w:t xml:space="preserve">netto </w:t>
      </w:r>
      <w:proofErr w:type="gramStart"/>
      <w:r w:rsidRPr="00FC5DAE">
        <w:rPr>
          <w:rFonts w:ascii="Arial" w:eastAsia="Times New Roman" w:hAnsi="Arial" w:cs="Arial"/>
          <w:color w:val="000000"/>
          <w:lang w:eastAsia="de-DE"/>
        </w:rPr>
        <w:t>p.a.</w:t>
      </w:r>
      <w:r w:rsidRPr="00FC5DAE">
        <w:rPr>
          <w:rFonts w:ascii="Arial" w:eastAsia="Times New Roman" w:hAnsi="Arial" w:cs="Arial"/>
          <w:b/>
          <w:bCs/>
          <w:color w:val="000000"/>
          <w:lang w:eastAsia="de-DE"/>
        </w:rPr>
        <w:t>.</w:t>
      </w:r>
      <w:proofErr w:type="gramEnd"/>
    </w:p>
    <w:p w:rsidR="000A4AC8" w:rsidRPr="000A4AC8" w:rsidRDefault="000A4AC8" w:rsidP="000A4AC8">
      <w:pPr>
        <w:spacing w:after="0" w:line="240" w:lineRule="auto"/>
        <w:rPr>
          <w:rFonts w:ascii="Arial" w:eastAsia="Times New Roman" w:hAnsi="Arial" w:cs="Arial"/>
          <w:b/>
          <w:color w:val="000000"/>
          <w:u w:val="single"/>
          <w:lang w:eastAsia="de-DE"/>
        </w:rPr>
      </w:pPr>
    </w:p>
    <w:p w:rsidR="003005FC" w:rsidRDefault="00FC5DAE" w:rsidP="000A4AC8">
      <w:pPr>
        <w:pStyle w:val="Listenabsatz"/>
        <w:numPr>
          <w:ilvl w:val="0"/>
          <w:numId w:val="2"/>
        </w:numPr>
        <w:spacing w:after="0" w:line="240" w:lineRule="auto"/>
        <w:rPr>
          <w:rFonts w:ascii="Arial" w:eastAsia="Times New Roman" w:hAnsi="Arial" w:cs="Arial"/>
          <w:b/>
          <w:color w:val="000000"/>
          <w:u w:val="single"/>
          <w:lang w:eastAsia="de-DE"/>
        </w:rPr>
      </w:pPr>
      <w:r w:rsidRPr="00BD6260">
        <w:rPr>
          <w:rFonts w:ascii="Arial" w:eastAsia="Times New Roman" w:hAnsi="Arial" w:cs="Arial"/>
          <w:b/>
          <w:color w:val="000000"/>
          <w:u w:val="single"/>
          <w:lang w:eastAsia="de-DE"/>
        </w:rPr>
        <w:t>Wertungskriterien der Eignung</w:t>
      </w:r>
    </w:p>
    <w:p w:rsidR="003005FC" w:rsidRDefault="003005FC" w:rsidP="000A4AC8">
      <w:pPr>
        <w:spacing w:after="0" w:line="240" w:lineRule="auto"/>
        <w:rPr>
          <w:rFonts w:ascii="Arial" w:eastAsia="Times New Roman" w:hAnsi="Arial" w:cs="Arial"/>
          <w:b/>
          <w:color w:val="000000"/>
          <w:u w:val="single"/>
          <w:lang w:eastAsia="de-DE"/>
        </w:rPr>
      </w:pPr>
    </w:p>
    <w:p w:rsidR="006532F9" w:rsidRPr="000A4AC8" w:rsidRDefault="006532F9" w:rsidP="000A4AC8">
      <w:pPr>
        <w:spacing w:after="0" w:line="240" w:lineRule="auto"/>
        <w:rPr>
          <w:rFonts w:ascii="Arial" w:eastAsia="Times New Roman" w:hAnsi="Arial" w:cs="Arial"/>
          <w:b/>
          <w:color w:val="000000"/>
          <w:u w:val="single"/>
          <w:lang w:eastAsia="de-DE"/>
        </w:rPr>
      </w:pPr>
    </w:p>
    <w:p w:rsidR="00FC5DAE" w:rsidRDefault="00FC5DAE" w:rsidP="005734B4">
      <w:pPr>
        <w:pStyle w:val="Listenabsatz"/>
        <w:numPr>
          <w:ilvl w:val="0"/>
          <w:numId w:val="3"/>
        </w:numPr>
        <w:spacing w:after="0" w:line="240" w:lineRule="auto"/>
        <w:rPr>
          <w:rFonts w:ascii="Arial" w:eastAsia="Times New Roman" w:hAnsi="Arial" w:cs="Arial"/>
          <w:color w:val="000000"/>
          <w:u w:val="single"/>
          <w:lang w:eastAsia="de-DE"/>
        </w:rPr>
      </w:pPr>
      <w:r w:rsidRPr="00BD6260">
        <w:rPr>
          <w:rFonts w:ascii="Arial" w:eastAsia="Times New Roman" w:hAnsi="Arial" w:cs="Arial"/>
          <w:color w:val="000000"/>
          <w:u w:val="single"/>
          <w:lang w:eastAsia="de-DE"/>
        </w:rPr>
        <w:t>Durchschnittlicher spezifischer Jahresumsatz der letzten 3 Geschäftsjahre im Tätigkeitsbereich des Auftrags</w:t>
      </w:r>
    </w:p>
    <w:p w:rsidR="00411602" w:rsidRPr="00411602" w:rsidRDefault="00411602" w:rsidP="00411602">
      <w:pPr>
        <w:spacing w:after="0" w:line="240" w:lineRule="auto"/>
        <w:rPr>
          <w:rFonts w:ascii="Arial" w:eastAsia="Times New Roman" w:hAnsi="Arial" w:cs="Arial"/>
          <w:color w:val="000000"/>
          <w:u w:val="single"/>
          <w:lang w:eastAsia="de-DE"/>
        </w:rPr>
      </w:pPr>
    </w:p>
    <w:p w:rsidR="00FC5DAE" w:rsidRPr="00BD6260" w:rsidRDefault="00FC5DAE" w:rsidP="005734B4">
      <w:pPr>
        <w:spacing w:after="0" w:line="240" w:lineRule="auto"/>
        <w:rPr>
          <w:rFonts w:ascii="Arial" w:eastAsia="Times New Roman" w:hAnsi="Arial" w:cs="Arial"/>
          <w:color w:val="000000"/>
          <w:lang w:eastAsia="de-DE"/>
        </w:rPr>
      </w:pPr>
      <w:r w:rsidRPr="00FC5DAE">
        <w:rPr>
          <w:rFonts w:ascii="Arial" w:eastAsia="Times New Roman" w:hAnsi="Arial" w:cs="Arial"/>
          <w:color w:val="000000"/>
          <w:lang w:eastAsia="de-DE"/>
        </w:rPr>
        <w:t>Bewertet wird der Jahresumsatz, der vom Bewerber bzw. der Bewerbergemeinschaft im Bereich der Objektplanung in den letzten drei abgeschlossenen Geschäftsjahren (201</w:t>
      </w:r>
      <w:r w:rsidR="00411CDA">
        <w:rPr>
          <w:rFonts w:ascii="Arial" w:eastAsia="Times New Roman" w:hAnsi="Arial" w:cs="Arial"/>
          <w:color w:val="000000"/>
          <w:lang w:eastAsia="de-DE"/>
        </w:rPr>
        <w:t>8</w:t>
      </w:r>
      <w:r w:rsidRPr="00FC5DAE">
        <w:rPr>
          <w:rFonts w:ascii="Arial" w:eastAsia="Times New Roman" w:hAnsi="Arial" w:cs="Arial"/>
          <w:color w:val="000000"/>
          <w:lang w:eastAsia="de-DE"/>
        </w:rPr>
        <w:t xml:space="preserve"> bis 20</w:t>
      </w:r>
      <w:r w:rsidR="00411CDA">
        <w:rPr>
          <w:rFonts w:ascii="Arial" w:eastAsia="Times New Roman" w:hAnsi="Arial" w:cs="Arial"/>
          <w:color w:val="000000"/>
          <w:lang w:eastAsia="de-DE"/>
        </w:rPr>
        <w:t>20</w:t>
      </w:r>
      <w:r w:rsidRPr="00FC5DAE">
        <w:rPr>
          <w:rFonts w:ascii="Arial" w:eastAsia="Times New Roman" w:hAnsi="Arial" w:cs="Arial"/>
          <w:color w:val="000000"/>
          <w:lang w:eastAsia="de-DE"/>
        </w:rPr>
        <w:t>) erzielt worden ist.</w:t>
      </w:r>
      <w:r w:rsidRPr="00FC5DAE">
        <w:rPr>
          <w:rFonts w:ascii="Arial" w:eastAsia="Times New Roman" w:hAnsi="Arial" w:cs="Arial"/>
          <w:color w:val="000000"/>
          <w:lang w:eastAsia="de-DE"/>
        </w:rPr>
        <w:br/>
      </w:r>
      <w:r w:rsidRPr="00FC5DAE">
        <w:rPr>
          <w:rFonts w:ascii="Arial" w:eastAsia="Times New Roman" w:hAnsi="Arial" w:cs="Arial"/>
          <w:color w:val="000000"/>
          <w:lang w:eastAsia="de-DE"/>
        </w:rPr>
        <w:br/>
        <w:t xml:space="preserve">Hinweis: Bewerbergemeinschaften werden wie ein Einzelbewerber behandelt (§ 43 Abs. 2 S. 1 VgV). Bei Bewerbergemeinschaften ist daher der jeweils addierte Umsatz aller Mitglieder der Bewerbergemeinschaft im jeweiligen Geschäftsjahr maßgebend. </w:t>
      </w:r>
    </w:p>
    <w:p w:rsidR="008251FF" w:rsidRPr="00DB3C9C" w:rsidRDefault="00FC5DAE" w:rsidP="000A4AC8">
      <w:pPr>
        <w:tabs>
          <w:tab w:val="left" w:pos="851"/>
        </w:tabs>
        <w:spacing w:after="0" w:line="240" w:lineRule="auto"/>
        <w:rPr>
          <w:rFonts w:ascii="Arial" w:eastAsia="Times New Roman" w:hAnsi="Arial" w:cs="Arial"/>
          <w:color w:val="000000"/>
          <w:sz w:val="24"/>
          <w:lang w:eastAsia="de-DE"/>
        </w:rPr>
      </w:pPr>
      <w:r w:rsidRPr="00FC5DAE">
        <w:rPr>
          <w:rFonts w:ascii="Arial" w:eastAsia="Times New Roman" w:hAnsi="Arial" w:cs="Arial"/>
          <w:color w:val="000000"/>
          <w:lang w:eastAsia="de-DE"/>
        </w:rPr>
        <w:br/>
        <w:t xml:space="preserve">5 Punkte: </w:t>
      </w:r>
      <w:r w:rsidRPr="00FC5DAE">
        <w:rPr>
          <w:rFonts w:ascii="Cambria Math" w:eastAsia="Times New Roman" w:hAnsi="Cambria Math" w:cs="Cambria Math"/>
          <w:color w:val="000000"/>
          <w:lang w:eastAsia="de-DE"/>
        </w:rPr>
        <w:t>≧</w:t>
      </w:r>
      <w:r w:rsidRPr="00FC5DAE">
        <w:rPr>
          <w:rFonts w:ascii="Arial" w:eastAsia="Times New Roman" w:hAnsi="Arial" w:cs="Arial"/>
          <w:color w:val="000000"/>
          <w:lang w:eastAsia="de-DE"/>
        </w:rPr>
        <w:t xml:space="preserve"> durchschnittlich</w:t>
      </w:r>
      <w:r w:rsidRPr="00FC5DAE">
        <w:rPr>
          <w:rFonts w:ascii="Arial" w:eastAsia="Times New Roman" w:hAnsi="Arial" w:cs="Arial"/>
          <w:lang w:eastAsia="de-DE"/>
        </w:rPr>
        <w:t>er spezifischer Jahresumsatz 900 TEUR netto</w:t>
      </w:r>
      <w:r w:rsidRPr="00FC5DAE">
        <w:rPr>
          <w:rFonts w:ascii="Arial" w:eastAsia="Times New Roman" w:hAnsi="Arial" w:cs="Arial"/>
          <w:color w:val="000000"/>
          <w:lang w:eastAsia="de-DE"/>
        </w:rPr>
        <w:br/>
        <w:t xml:space="preserve">1 Punkt: durchschnittlicher spezifischer Jahresumsatz 300 TEUR netto </w:t>
      </w:r>
      <w:r w:rsidR="000A4AC8">
        <w:rPr>
          <w:rFonts w:ascii="Arial" w:eastAsia="Times New Roman" w:hAnsi="Arial" w:cs="Arial"/>
          <w:color w:val="000000"/>
          <w:lang w:eastAsia="de-DE"/>
        </w:rPr>
        <w:tab/>
      </w:r>
      <w:r w:rsidRPr="00DB3C9C">
        <w:rPr>
          <w:rFonts w:ascii="Arial" w:eastAsia="Times New Roman" w:hAnsi="Arial" w:cs="Arial"/>
          <w:color w:val="000000"/>
          <w:lang w:eastAsia="de-DE"/>
        </w:rPr>
        <w:t>(</w:t>
      </w:r>
      <w:r w:rsidRPr="00DB3C9C">
        <w:rPr>
          <w:rFonts w:ascii="Arial" w:eastAsia="Times New Roman" w:hAnsi="Arial" w:cs="Arial"/>
          <w:b/>
          <w:bCs/>
          <w:color w:val="000000"/>
          <w:lang w:eastAsia="de-DE"/>
        </w:rPr>
        <w:t>Mindestanforderung</w:t>
      </w:r>
      <w:r w:rsidRPr="00DB3C9C">
        <w:rPr>
          <w:rFonts w:ascii="Arial" w:eastAsia="Times New Roman" w:hAnsi="Arial" w:cs="Arial"/>
          <w:color w:val="000000"/>
          <w:lang w:eastAsia="de-DE"/>
        </w:rPr>
        <w:t>)</w:t>
      </w:r>
    </w:p>
    <w:p w:rsidR="005734B4" w:rsidRPr="00BD6260" w:rsidRDefault="005734B4" w:rsidP="005734B4">
      <w:pPr>
        <w:spacing w:after="0" w:line="240" w:lineRule="auto"/>
        <w:rPr>
          <w:rFonts w:ascii="Arial" w:eastAsia="Times New Roman" w:hAnsi="Arial" w:cs="Arial"/>
          <w:color w:val="000000"/>
          <w:lang w:eastAsia="de-DE"/>
        </w:rPr>
      </w:pPr>
    </w:p>
    <w:p w:rsidR="008251FF" w:rsidRPr="00BD6260" w:rsidRDefault="008251FF" w:rsidP="005734B4">
      <w:pPr>
        <w:spacing w:after="0" w:line="240" w:lineRule="auto"/>
        <w:rPr>
          <w:rFonts w:ascii="Arial" w:eastAsia="Times New Roman" w:hAnsi="Arial" w:cs="Arial"/>
          <w:color w:val="000000"/>
          <w:lang w:eastAsia="de-DE"/>
        </w:rPr>
      </w:pPr>
    </w:p>
    <w:p w:rsidR="008251FF" w:rsidRPr="00BD6260" w:rsidRDefault="008251FF" w:rsidP="005734B4">
      <w:pPr>
        <w:pStyle w:val="Listenabsatz"/>
        <w:numPr>
          <w:ilvl w:val="0"/>
          <w:numId w:val="3"/>
        </w:numPr>
        <w:spacing w:after="0" w:line="240" w:lineRule="auto"/>
        <w:rPr>
          <w:rFonts w:ascii="Arial" w:eastAsia="Times New Roman" w:hAnsi="Arial" w:cs="Arial"/>
          <w:color w:val="000000"/>
          <w:u w:val="single"/>
          <w:lang w:eastAsia="de-DE"/>
        </w:rPr>
      </w:pPr>
      <w:r w:rsidRPr="00BD6260">
        <w:rPr>
          <w:rFonts w:ascii="Arial" w:eastAsia="Times New Roman" w:hAnsi="Arial" w:cs="Arial"/>
          <w:color w:val="000000"/>
          <w:u w:val="single"/>
          <w:lang w:eastAsia="de-DE"/>
        </w:rPr>
        <w:t>Referenzen des Bewerbers bzw. der Bietergemeinschaft aus den letzten 10 Jahren</w:t>
      </w:r>
    </w:p>
    <w:p w:rsidR="008251FF" w:rsidRPr="00BD6260" w:rsidRDefault="00FC5DAE" w:rsidP="005734B4">
      <w:pPr>
        <w:spacing w:line="240" w:lineRule="auto"/>
        <w:rPr>
          <w:rFonts w:ascii="Arial" w:eastAsia="Times New Roman" w:hAnsi="Arial" w:cs="Arial"/>
          <w:color w:val="000000"/>
          <w:lang w:eastAsia="de-DE"/>
        </w:rPr>
      </w:pPr>
      <w:r w:rsidRPr="00BD6260">
        <w:rPr>
          <w:rFonts w:ascii="Arial" w:eastAsia="Times New Roman" w:hAnsi="Arial" w:cs="Arial"/>
          <w:color w:val="000000"/>
          <w:u w:val="single"/>
          <w:lang w:eastAsia="de-DE"/>
        </w:rPr>
        <w:br/>
      </w:r>
      <w:r w:rsidR="008251FF" w:rsidRPr="00BD6260">
        <w:rPr>
          <w:rFonts w:ascii="Arial" w:eastAsia="Times New Roman" w:hAnsi="Arial" w:cs="Arial"/>
          <w:color w:val="000000"/>
          <w:lang w:eastAsia="de-DE"/>
        </w:rPr>
        <w:t>Der Auftraggeber bewertet die Eignung der Bewerber anhand der Vergleichbarkeit von Referenzen.</w:t>
      </w:r>
      <w:r w:rsidR="008251FF" w:rsidRPr="00BD6260">
        <w:rPr>
          <w:rFonts w:ascii="Arial" w:eastAsia="Times New Roman" w:hAnsi="Arial" w:cs="Arial"/>
          <w:color w:val="000000"/>
          <w:lang w:eastAsia="de-DE"/>
        </w:rPr>
        <w:br/>
      </w:r>
      <w:r w:rsidR="008251FF" w:rsidRPr="00BD6260">
        <w:rPr>
          <w:rFonts w:ascii="Arial" w:eastAsia="Times New Roman" w:hAnsi="Arial" w:cs="Arial"/>
          <w:color w:val="000000"/>
          <w:lang w:eastAsia="de-DE"/>
        </w:rPr>
        <w:br/>
        <w:t xml:space="preserve">Für die Vergleichbarkeit stellt der Auftraggeber darauf ab, ob die Planungs- oder Beratungsanforderungen der Referenzobjekte mit denen der zu vergebenden Planungs- oder Beratungsleistung vergleichbar sind. Hierbei kommt es auf den vergleichbaren Schwierigkeitsgrad des Referenzobjekts und der ausgeschriebenen Leistung an. Der Auftraggeber geht von </w:t>
      </w:r>
      <w:r w:rsidR="008251FF" w:rsidRPr="00BD6260">
        <w:rPr>
          <w:rFonts w:ascii="Arial" w:eastAsia="Times New Roman" w:hAnsi="Arial" w:cs="Arial"/>
          <w:b/>
          <w:bCs/>
          <w:color w:val="000000"/>
          <w:lang w:eastAsia="de-DE"/>
        </w:rPr>
        <w:t>durchschnittlichen Anforderungen</w:t>
      </w:r>
      <w:r w:rsidR="008251FF" w:rsidRPr="00BD6260">
        <w:rPr>
          <w:rFonts w:ascii="Arial" w:eastAsia="Times New Roman" w:hAnsi="Arial" w:cs="Arial"/>
          <w:color w:val="000000"/>
          <w:lang w:eastAsia="de-DE"/>
        </w:rPr>
        <w:t xml:space="preserve"> aus (entspricht Honorarzone III, vgl. Anlage 10.2 zur HOAI). Aufgrund der besondere auftragsbezogenen Anforderungen an die Sanierung</w:t>
      </w:r>
      <w:r w:rsidR="00795EE6" w:rsidRPr="00BD6260">
        <w:rPr>
          <w:rFonts w:ascii="Arial" w:eastAsia="Times New Roman" w:hAnsi="Arial" w:cs="Arial"/>
          <w:color w:val="000000"/>
          <w:lang w:eastAsia="de-DE"/>
        </w:rPr>
        <w:t>/Anbau</w:t>
      </w:r>
      <w:r w:rsidR="008251FF" w:rsidRPr="00BD6260">
        <w:rPr>
          <w:rFonts w:ascii="Arial" w:eastAsia="Times New Roman" w:hAnsi="Arial" w:cs="Arial"/>
          <w:color w:val="000000"/>
          <w:lang w:eastAsia="de-DE"/>
        </w:rPr>
        <w:t xml:space="preserve"> einer Schule im laufenden Betrieb im Hinblick auf die Anforderungen an eine pädagogische Planung bewertet der Auftraggeber weiterhin, ob die Referenzen die  Sanierung</w:t>
      </w:r>
      <w:r w:rsidR="00795EE6" w:rsidRPr="00BD6260">
        <w:rPr>
          <w:rFonts w:ascii="Arial" w:eastAsia="Times New Roman" w:hAnsi="Arial" w:cs="Arial"/>
          <w:color w:val="000000"/>
          <w:lang w:eastAsia="de-DE"/>
        </w:rPr>
        <w:t>/Anbau</w:t>
      </w:r>
      <w:r w:rsidR="008251FF" w:rsidRPr="00BD6260">
        <w:rPr>
          <w:rFonts w:ascii="Arial" w:eastAsia="Times New Roman" w:hAnsi="Arial" w:cs="Arial"/>
          <w:color w:val="000000"/>
          <w:lang w:eastAsia="de-DE"/>
        </w:rPr>
        <w:t xml:space="preserve"> einer Schule vergleichbarer Größe im laufenden Betrieb  umfassen.</w:t>
      </w:r>
      <w:r w:rsidR="008251FF" w:rsidRPr="00BD6260">
        <w:rPr>
          <w:rFonts w:ascii="Arial" w:eastAsia="Times New Roman" w:hAnsi="Arial" w:cs="Arial"/>
          <w:color w:val="000000"/>
          <w:lang w:eastAsia="de-DE"/>
        </w:rPr>
        <w:br/>
      </w:r>
      <w:r w:rsidR="008251FF" w:rsidRPr="00BD6260">
        <w:rPr>
          <w:rFonts w:ascii="Arial" w:eastAsia="Times New Roman" w:hAnsi="Arial" w:cs="Arial"/>
          <w:color w:val="000000"/>
          <w:lang w:eastAsia="de-DE"/>
        </w:rPr>
        <w:br/>
        <w:t xml:space="preserve">Aufgrund des Umfangs des Gesamtprojekts und der inhaltlichen Anforderungen an die Vergleichbarkeit der Referenzen sowie, um einen hinreichenden Wettbewerb sicherzustellen und insbesondere, um auch kleinere Bewerber nicht zu benachteiligen, stellt der Auftraggeber als Referenzzeitraum auf die letzten zehn Jahre (Februar 2011 bis Februar 2021) ab. Referenzen werden nur gewertet, sofern sie die Leistungsphasen </w:t>
      </w:r>
      <w:proofErr w:type="spellStart"/>
      <w:r w:rsidR="008251FF" w:rsidRPr="00BD6260">
        <w:rPr>
          <w:rFonts w:ascii="Arial" w:eastAsia="Times New Roman" w:hAnsi="Arial" w:cs="Arial"/>
          <w:color w:val="000000"/>
          <w:lang w:eastAsia="de-DE"/>
        </w:rPr>
        <w:t>LPh</w:t>
      </w:r>
      <w:proofErr w:type="spellEnd"/>
      <w:r w:rsidR="008251FF" w:rsidRPr="00BD6260">
        <w:rPr>
          <w:rFonts w:ascii="Arial" w:eastAsia="Times New Roman" w:hAnsi="Arial" w:cs="Arial"/>
          <w:color w:val="000000"/>
          <w:lang w:eastAsia="de-DE"/>
        </w:rPr>
        <w:t xml:space="preserve"> 2 bis </w:t>
      </w:r>
      <w:r w:rsidR="00795EE6" w:rsidRPr="00BD6260">
        <w:rPr>
          <w:rFonts w:ascii="Arial" w:eastAsia="Times New Roman" w:hAnsi="Arial" w:cs="Arial"/>
          <w:color w:val="000000"/>
          <w:lang w:eastAsia="de-DE"/>
        </w:rPr>
        <w:t>8</w:t>
      </w:r>
      <w:r w:rsidR="008251FF" w:rsidRPr="00BD6260">
        <w:rPr>
          <w:rFonts w:ascii="Arial" w:eastAsia="Times New Roman" w:hAnsi="Arial" w:cs="Arial"/>
          <w:color w:val="000000"/>
          <w:lang w:eastAsia="de-DE"/>
        </w:rPr>
        <w:t xml:space="preserve"> nach § 34 HOAI umfassen. Die Planungsleistungen der </w:t>
      </w:r>
      <w:proofErr w:type="spellStart"/>
      <w:r w:rsidR="008251FF" w:rsidRPr="00BD6260">
        <w:rPr>
          <w:rFonts w:ascii="Arial" w:eastAsia="Times New Roman" w:hAnsi="Arial" w:cs="Arial"/>
          <w:color w:val="000000"/>
          <w:lang w:eastAsia="de-DE"/>
        </w:rPr>
        <w:t>LPh</w:t>
      </w:r>
      <w:proofErr w:type="spellEnd"/>
      <w:r w:rsidR="008251FF" w:rsidRPr="00BD6260">
        <w:rPr>
          <w:rFonts w:ascii="Arial" w:eastAsia="Times New Roman" w:hAnsi="Arial" w:cs="Arial"/>
          <w:color w:val="000000"/>
          <w:lang w:eastAsia="de-DE"/>
        </w:rPr>
        <w:t xml:space="preserve"> 2 bis 8 müssen im vorgenannten Zeitraum vollständig erbracht worden sein (</w:t>
      </w:r>
      <w:r w:rsidR="008251FF" w:rsidRPr="00BD6260">
        <w:rPr>
          <w:rFonts w:ascii="Arial" w:eastAsia="Times New Roman" w:hAnsi="Arial" w:cs="Arial"/>
          <w:b/>
          <w:bCs/>
          <w:color w:val="000000"/>
          <w:lang w:eastAsia="de-DE"/>
        </w:rPr>
        <w:t>Mindestanforderung für die Wertung der Referenz</w:t>
      </w:r>
      <w:r w:rsidR="008251FF" w:rsidRPr="00BD6260">
        <w:rPr>
          <w:rFonts w:ascii="Arial" w:eastAsia="Times New Roman" w:hAnsi="Arial" w:cs="Arial"/>
          <w:color w:val="000000"/>
          <w:lang w:eastAsia="de-DE"/>
        </w:rPr>
        <w:t>).</w:t>
      </w:r>
      <w:r w:rsidR="008251FF" w:rsidRPr="00BD6260">
        <w:rPr>
          <w:rFonts w:ascii="Arial" w:eastAsia="Times New Roman" w:hAnsi="Arial" w:cs="Arial"/>
          <w:color w:val="000000"/>
          <w:lang w:eastAsia="de-DE"/>
        </w:rPr>
        <w:br/>
      </w:r>
      <w:r w:rsidR="008251FF" w:rsidRPr="00BD6260">
        <w:rPr>
          <w:rFonts w:ascii="Arial" w:eastAsia="Times New Roman" w:hAnsi="Arial" w:cs="Arial"/>
          <w:color w:val="000000"/>
          <w:lang w:eastAsia="de-DE"/>
        </w:rPr>
        <w:br/>
        <w:t xml:space="preserve">Der Auftraggeber behält sich vor, bei der angegebenen Kontaktstelle des Referenzgebers zu überprüfen, ob die Referenzen jeweils zur Zufriedenheit des Referenzgebers erbracht worden sind. Der Auftraggeber behält sich vor, Referenzen nicht zu werten, wenn diese nicht vollständig oder im Wesentlichen auftragsgemäß ausgeführt worden sind. Sind mehrere Referenzen nicht </w:t>
      </w:r>
      <w:proofErr w:type="spellStart"/>
      <w:r w:rsidR="008251FF" w:rsidRPr="00BD6260">
        <w:rPr>
          <w:rFonts w:ascii="Arial" w:eastAsia="Times New Roman" w:hAnsi="Arial" w:cs="Arial"/>
          <w:color w:val="000000"/>
          <w:lang w:eastAsia="de-DE"/>
        </w:rPr>
        <w:t>wertbar</w:t>
      </w:r>
      <w:proofErr w:type="spellEnd"/>
      <w:r w:rsidR="008251FF" w:rsidRPr="00BD6260">
        <w:rPr>
          <w:rFonts w:ascii="Arial" w:eastAsia="Times New Roman" w:hAnsi="Arial" w:cs="Arial"/>
          <w:color w:val="000000"/>
          <w:lang w:eastAsia="de-DE"/>
        </w:rPr>
        <w:t>, wird der Auftraggeber im Rahmen einer Prognoseentscheidung beurteilen, ob der Bewerber bzw. die Bewerbergemeinschaft über die erforderliche technische und berufliche Leistungsfähigkeit verfügt.</w:t>
      </w:r>
      <w:r w:rsidR="008251FF" w:rsidRPr="00BD6260">
        <w:rPr>
          <w:rFonts w:ascii="Arial" w:eastAsia="Times New Roman" w:hAnsi="Arial" w:cs="Arial"/>
          <w:color w:val="000000"/>
          <w:lang w:eastAsia="de-DE"/>
        </w:rPr>
        <w:br/>
      </w:r>
      <w:r w:rsidR="008251FF" w:rsidRPr="00BD6260">
        <w:rPr>
          <w:rFonts w:ascii="Arial" w:eastAsia="Times New Roman" w:hAnsi="Arial" w:cs="Arial"/>
          <w:color w:val="000000"/>
          <w:lang w:eastAsia="de-DE"/>
        </w:rPr>
        <w:br/>
        <w:t>Die Bewerber sollen mit ihrem Teilnahmeantrag eine Eigenerklärung zu drei Referenzen einreichen. Werden mehr Referenzen eingereicht, werden nur die aus Sicht des Auftraggebers besten drei Referenzen anhand der nachfolgenden Kriterien gewertet.</w:t>
      </w:r>
      <w:r w:rsidR="008251FF" w:rsidRPr="00BD6260">
        <w:rPr>
          <w:rFonts w:ascii="Arial" w:eastAsia="Times New Roman" w:hAnsi="Arial" w:cs="Arial"/>
          <w:color w:val="000000"/>
          <w:lang w:eastAsia="de-DE"/>
        </w:rPr>
        <w:br/>
      </w:r>
      <w:r w:rsidR="008251FF" w:rsidRPr="00BD6260">
        <w:rPr>
          <w:rFonts w:ascii="Arial" w:eastAsia="Times New Roman" w:hAnsi="Arial" w:cs="Arial"/>
          <w:color w:val="000000"/>
          <w:lang w:eastAsia="de-DE"/>
        </w:rPr>
        <w:br/>
        <w:t>Bewerbergemeinschaften werden wie ein Einzelbewerber behandelt.</w:t>
      </w:r>
      <w:r w:rsidR="00411602">
        <w:rPr>
          <w:rFonts w:ascii="Arial" w:eastAsia="Times New Roman" w:hAnsi="Arial" w:cs="Arial"/>
          <w:color w:val="000000"/>
          <w:lang w:eastAsia="de-DE"/>
        </w:rPr>
        <w:t xml:space="preserve"> </w:t>
      </w:r>
      <w:r w:rsidR="008251FF" w:rsidRPr="00BD6260">
        <w:rPr>
          <w:rFonts w:ascii="Arial" w:eastAsia="Times New Roman" w:hAnsi="Arial" w:cs="Arial"/>
          <w:color w:val="000000"/>
          <w:lang w:eastAsia="de-DE"/>
        </w:rPr>
        <w:t>Bewerbergemeinschaften legen daher eine gemeinsame Referenzliste vor.</w:t>
      </w:r>
    </w:p>
    <w:p w:rsidR="000A4AC8" w:rsidRDefault="008251FF" w:rsidP="005734B4">
      <w:p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Es werden jeweils die besten drei Referenzen mit 1 bis 5 Punkten gewertet. Insgesamt sind damit max. 3 x 5 = 15 Wertungspunkte zu erreichen.</w:t>
      </w:r>
      <w:r w:rsidRPr="00BD6260">
        <w:rPr>
          <w:rFonts w:ascii="Arial" w:eastAsia="Times New Roman" w:hAnsi="Arial" w:cs="Arial"/>
          <w:color w:val="000000"/>
          <w:lang w:eastAsia="de-DE"/>
        </w:rPr>
        <w:br/>
      </w:r>
    </w:p>
    <w:p w:rsidR="008251FF" w:rsidRPr="00BD6260" w:rsidRDefault="008251FF" w:rsidP="005734B4">
      <w:p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Die Referenzen werden daraufhin bewertet, ob sie die nachfolgenden Aspekte erfüllen:</w:t>
      </w:r>
    </w:p>
    <w:p w:rsidR="008251FF" w:rsidRPr="00BD6260" w:rsidRDefault="008251FF" w:rsidP="005734B4">
      <w:pPr>
        <w:spacing w:after="0" w:line="240" w:lineRule="auto"/>
        <w:rPr>
          <w:rFonts w:ascii="Arial" w:eastAsia="Times New Roman" w:hAnsi="Arial" w:cs="Arial"/>
          <w:bCs/>
          <w:color w:val="000000"/>
          <w:lang w:eastAsia="de-DE"/>
        </w:rPr>
      </w:pPr>
      <w:r w:rsidRPr="008251FF">
        <w:rPr>
          <w:rFonts w:ascii="Arial" w:eastAsia="Times New Roman" w:hAnsi="Arial" w:cs="Arial"/>
          <w:bCs/>
          <w:color w:val="000000"/>
          <w:lang w:eastAsia="de-DE"/>
        </w:rPr>
        <w:t>a) Referenz umfasst Objektplanungsleistung für Sanierung</w:t>
      </w:r>
      <w:r w:rsidR="00904851">
        <w:rPr>
          <w:rFonts w:ascii="Arial" w:eastAsia="Times New Roman" w:hAnsi="Arial" w:cs="Arial"/>
          <w:bCs/>
          <w:color w:val="000000"/>
          <w:lang w:eastAsia="de-DE"/>
        </w:rPr>
        <w:t>/Anbau</w:t>
      </w:r>
      <w:r w:rsidRPr="008251FF">
        <w:rPr>
          <w:rFonts w:ascii="Arial" w:eastAsia="Times New Roman" w:hAnsi="Arial" w:cs="Arial"/>
          <w:bCs/>
          <w:color w:val="000000"/>
          <w:lang w:eastAsia="de-DE"/>
        </w:rPr>
        <w:t xml:space="preserve"> eines Schulgebäudes im laufenden Betrieb mit mind. 1.250</w:t>
      </w:r>
      <w:r w:rsidRPr="008251FF">
        <w:rPr>
          <w:rFonts w:ascii="Arial" w:eastAsia="Times New Roman" w:hAnsi="Arial" w:cs="Arial"/>
          <w:bCs/>
          <w:color w:val="FF0000"/>
          <w:lang w:eastAsia="de-DE"/>
        </w:rPr>
        <w:t xml:space="preserve"> </w:t>
      </w:r>
      <w:r w:rsidR="00904851">
        <w:rPr>
          <w:rFonts w:ascii="Arial" w:eastAsia="Times New Roman" w:hAnsi="Arial" w:cs="Arial"/>
          <w:bCs/>
          <w:color w:val="000000"/>
          <w:lang w:eastAsia="de-DE"/>
        </w:rPr>
        <w:t>m²</w:t>
      </w:r>
      <w:r w:rsidRPr="008251FF">
        <w:rPr>
          <w:rFonts w:ascii="Arial" w:eastAsia="Times New Roman" w:hAnsi="Arial" w:cs="Arial"/>
          <w:bCs/>
          <w:color w:val="FF0000"/>
          <w:lang w:eastAsia="de-DE"/>
        </w:rPr>
        <w:t xml:space="preserve"> </w:t>
      </w:r>
      <w:r w:rsidRPr="008251FF">
        <w:rPr>
          <w:rFonts w:ascii="Arial" w:eastAsia="Times New Roman" w:hAnsi="Arial" w:cs="Arial"/>
          <w:bCs/>
          <w:color w:val="000000"/>
          <w:lang w:eastAsia="de-DE"/>
        </w:rPr>
        <w:t>BGF</w:t>
      </w:r>
      <w:r w:rsidRPr="00BD6260">
        <w:rPr>
          <w:rFonts w:ascii="Arial" w:eastAsia="Times New Roman" w:hAnsi="Arial" w:cs="Arial"/>
          <w:bCs/>
          <w:color w:val="000000"/>
          <w:lang w:eastAsia="de-DE"/>
        </w:rPr>
        <w:br/>
      </w:r>
    </w:p>
    <w:p w:rsidR="008251FF" w:rsidRPr="00BD6260" w:rsidRDefault="008251FF" w:rsidP="005734B4">
      <w:pPr>
        <w:spacing w:after="0" w:line="240" w:lineRule="auto"/>
        <w:rPr>
          <w:rFonts w:ascii="Arial" w:eastAsia="Times New Roman" w:hAnsi="Arial" w:cs="Arial"/>
          <w:bCs/>
          <w:color w:val="000000"/>
          <w:lang w:eastAsia="de-DE"/>
        </w:rPr>
      </w:pPr>
      <w:r w:rsidRPr="008251FF">
        <w:rPr>
          <w:rFonts w:ascii="Arial" w:eastAsia="Times New Roman" w:hAnsi="Arial" w:cs="Arial"/>
          <w:bCs/>
          <w:color w:val="000000"/>
          <w:lang w:eastAsia="de-DE"/>
        </w:rPr>
        <w:t>b) Referenz umfasst Planung einer Mensa, Cafeteria etc.</w:t>
      </w:r>
      <w:r w:rsidRPr="00BD6260">
        <w:rPr>
          <w:rFonts w:ascii="Arial" w:eastAsia="Times New Roman" w:hAnsi="Arial" w:cs="Arial"/>
          <w:bCs/>
          <w:color w:val="000000"/>
          <w:lang w:eastAsia="de-DE"/>
        </w:rPr>
        <w:br/>
      </w:r>
    </w:p>
    <w:p w:rsidR="00411CDA" w:rsidRDefault="008251FF" w:rsidP="005734B4">
      <w:pPr>
        <w:spacing w:after="0" w:line="240" w:lineRule="auto"/>
        <w:rPr>
          <w:rFonts w:ascii="Arial" w:eastAsia="Times New Roman" w:hAnsi="Arial" w:cs="Arial"/>
          <w:b/>
          <w:bCs/>
          <w:color w:val="000000"/>
          <w:lang w:eastAsia="de-DE"/>
        </w:rPr>
      </w:pPr>
      <w:r w:rsidRPr="008251FF">
        <w:rPr>
          <w:rFonts w:ascii="Arial" w:eastAsia="Times New Roman" w:hAnsi="Arial" w:cs="Arial"/>
          <w:bCs/>
          <w:color w:val="000000"/>
          <w:lang w:eastAsia="de-DE"/>
        </w:rPr>
        <w:t>c) Referenz umfasst Ausschreibung der Bauleistungen nach der VOB/A</w:t>
      </w:r>
      <w:r w:rsidRPr="00BD6260">
        <w:rPr>
          <w:rFonts w:ascii="Arial" w:eastAsia="Times New Roman" w:hAnsi="Arial" w:cs="Arial"/>
          <w:bCs/>
          <w:color w:val="000000"/>
          <w:lang w:eastAsia="de-DE"/>
        </w:rPr>
        <w:br/>
      </w:r>
    </w:p>
    <w:p w:rsidR="00411CDA" w:rsidRDefault="00411CDA" w:rsidP="005734B4">
      <w:pPr>
        <w:spacing w:after="0" w:line="240" w:lineRule="auto"/>
        <w:rPr>
          <w:rFonts w:ascii="Arial" w:eastAsia="Times New Roman" w:hAnsi="Arial" w:cs="Arial"/>
          <w:b/>
          <w:bCs/>
          <w:color w:val="000000"/>
          <w:lang w:eastAsia="de-DE"/>
        </w:rPr>
      </w:pPr>
    </w:p>
    <w:p w:rsidR="008251FF" w:rsidRPr="00BD6260" w:rsidRDefault="00795EE6" w:rsidP="005734B4">
      <w:pPr>
        <w:spacing w:after="0" w:line="240" w:lineRule="auto"/>
        <w:rPr>
          <w:rFonts w:ascii="Arial" w:eastAsia="Times New Roman" w:hAnsi="Arial" w:cs="Arial"/>
          <w:b/>
          <w:bCs/>
          <w:color w:val="000000"/>
          <w:lang w:eastAsia="de-DE"/>
        </w:rPr>
      </w:pPr>
      <w:r w:rsidRPr="00BD6260">
        <w:rPr>
          <w:rFonts w:ascii="Arial" w:eastAsia="Times New Roman" w:hAnsi="Arial" w:cs="Arial"/>
          <w:b/>
          <w:bCs/>
          <w:color w:val="000000"/>
          <w:lang w:eastAsia="de-DE"/>
        </w:rPr>
        <w:br/>
      </w:r>
    </w:p>
    <w:p w:rsidR="008251FF" w:rsidRPr="005734B4" w:rsidRDefault="008251FF" w:rsidP="005734B4">
      <w:pPr>
        <w:pStyle w:val="Listenabsatz"/>
        <w:numPr>
          <w:ilvl w:val="0"/>
          <w:numId w:val="3"/>
        </w:numPr>
        <w:spacing w:after="0" w:line="240" w:lineRule="auto"/>
        <w:rPr>
          <w:rFonts w:ascii="Arial" w:eastAsia="Times New Roman" w:hAnsi="Arial" w:cs="Arial"/>
          <w:bCs/>
          <w:color w:val="000000"/>
          <w:u w:val="single"/>
          <w:lang w:eastAsia="de-DE"/>
        </w:rPr>
      </w:pPr>
      <w:r w:rsidRPr="005734B4">
        <w:rPr>
          <w:rFonts w:ascii="Arial" w:eastAsia="Times New Roman" w:hAnsi="Arial" w:cs="Arial"/>
          <w:bCs/>
          <w:color w:val="000000"/>
          <w:u w:val="single"/>
          <w:lang w:eastAsia="de-DE"/>
        </w:rPr>
        <w:lastRenderedPageBreak/>
        <w:t xml:space="preserve">Anzahl Mitarbeiter (technische Fachkräfte), die im Zusammenhang mit der Leistungserbringung eingesetzt werden sollen (§ 46 Abs. 3 Nr. 2 VgV) </w:t>
      </w:r>
    </w:p>
    <w:p w:rsidR="008251FF" w:rsidRPr="00BD6260" w:rsidRDefault="008251FF" w:rsidP="005734B4">
      <w:pPr>
        <w:spacing w:after="0" w:line="240" w:lineRule="auto"/>
        <w:rPr>
          <w:rFonts w:ascii="Arial" w:eastAsia="Times New Roman" w:hAnsi="Arial" w:cs="Arial"/>
          <w:bCs/>
          <w:color w:val="000000"/>
          <w:u w:val="single"/>
          <w:lang w:eastAsia="de-DE"/>
        </w:rPr>
      </w:pPr>
    </w:p>
    <w:tbl>
      <w:tblPr>
        <w:tblW w:w="9240" w:type="dxa"/>
        <w:tblCellMar>
          <w:left w:w="70" w:type="dxa"/>
          <w:right w:w="70" w:type="dxa"/>
        </w:tblCellMar>
        <w:tblLook w:val="04A0" w:firstRow="1" w:lastRow="0" w:firstColumn="1" w:lastColumn="0" w:noHBand="0" w:noVBand="1"/>
      </w:tblPr>
      <w:tblGrid>
        <w:gridCol w:w="9240"/>
      </w:tblGrid>
      <w:tr w:rsidR="008251FF" w:rsidRPr="008251FF" w:rsidTr="00FD73CE">
        <w:trPr>
          <w:trHeight w:val="529"/>
        </w:trPr>
        <w:tc>
          <w:tcPr>
            <w:tcW w:w="9240" w:type="dxa"/>
            <w:vMerge w:val="restart"/>
            <w:shd w:val="clear" w:color="auto" w:fill="auto"/>
          </w:tcPr>
          <w:p w:rsidR="00FD73CE" w:rsidRPr="00BD6260" w:rsidRDefault="00FD73CE" w:rsidP="005734B4">
            <w:p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 xml:space="preserve">Bewertet wird die Anzahl der technischen Fachkräfte (Architekten, Ingenieure oder vergleichbar), einschließlich der Führungskräfte. </w:t>
            </w:r>
          </w:p>
          <w:p w:rsidR="00FD73CE" w:rsidRPr="00BD6260" w:rsidRDefault="00FD73CE" w:rsidP="005734B4">
            <w:p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Vollzeitkräfte werden als 1,00 Mitarbeiter gewertet. Teilzeitkräfte werden auf Vollzeitkräfte (40 h Woche) umgerechnet und auf zwei Dezimalen gerundet.</w:t>
            </w:r>
          </w:p>
          <w:p w:rsidR="008251FF" w:rsidRPr="00BD6260" w:rsidRDefault="00FD73CE" w:rsidP="005734B4">
            <w:p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Bei Bewerbergemeinschaften werden die technischen Fachkräfte der Mitglieder der Bewerbergemeinschaft addiert (§ 43 Abs. 2 S. 1 VgV)</w:t>
            </w:r>
          </w:p>
          <w:p w:rsidR="00FD73CE" w:rsidRPr="00BD6260" w:rsidRDefault="00FD73CE" w:rsidP="005734B4">
            <w:p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 xml:space="preserve">5 Punkte: </w:t>
            </w:r>
            <w:r w:rsidRPr="00BD6260">
              <w:rPr>
                <w:rFonts w:ascii="Cambria Math" w:eastAsia="Times New Roman" w:hAnsi="Cambria Math" w:cs="Cambria Math"/>
                <w:color w:val="000000"/>
                <w:lang w:eastAsia="de-DE"/>
              </w:rPr>
              <w:t>≧</w:t>
            </w:r>
            <w:r w:rsidRPr="00BD6260">
              <w:rPr>
                <w:rFonts w:ascii="Arial" w:eastAsia="Times New Roman" w:hAnsi="Arial" w:cs="Arial"/>
                <w:color w:val="000000"/>
                <w:lang w:eastAsia="de-DE"/>
              </w:rPr>
              <w:t xml:space="preserve"> 5,00 Technische Fachkräfte</w:t>
            </w:r>
          </w:p>
          <w:p w:rsidR="00FD73CE" w:rsidRPr="00BD6260" w:rsidRDefault="00FD73CE" w:rsidP="005734B4">
            <w:p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 xml:space="preserve">1 Punkt: 2,00 Technische Fachkräfte </w:t>
            </w:r>
            <w:r w:rsidRPr="000A4AC8">
              <w:rPr>
                <w:rFonts w:ascii="Arial" w:eastAsia="Times New Roman" w:hAnsi="Arial" w:cs="Arial"/>
                <w:b/>
                <w:color w:val="000000"/>
                <w:lang w:eastAsia="de-DE"/>
              </w:rPr>
              <w:t>(Mindestanforderung)</w:t>
            </w:r>
          </w:p>
          <w:p w:rsidR="00FD73CE" w:rsidRDefault="00FD73CE" w:rsidP="005734B4">
            <w:pPr>
              <w:spacing w:line="240" w:lineRule="auto"/>
              <w:rPr>
                <w:rFonts w:ascii="Arial" w:eastAsia="Times New Roman" w:hAnsi="Arial" w:cs="Arial"/>
                <w:color w:val="000000"/>
                <w:lang w:eastAsia="de-DE"/>
              </w:rPr>
            </w:pPr>
          </w:p>
          <w:p w:rsidR="00411CDA" w:rsidRPr="00BD6260" w:rsidRDefault="00411CDA" w:rsidP="005734B4">
            <w:pPr>
              <w:spacing w:line="240" w:lineRule="auto"/>
              <w:rPr>
                <w:rFonts w:ascii="Arial" w:eastAsia="Times New Roman" w:hAnsi="Arial" w:cs="Arial"/>
                <w:color w:val="000000"/>
                <w:lang w:eastAsia="de-DE"/>
              </w:rPr>
            </w:pPr>
            <w:bookmarkStart w:id="0" w:name="_GoBack"/>
            <w:bookmarkEnd w:id="0"/>
          </w:p>
          <w:p w:rsidR="00FD73CE" w:rsidRPr="00411CDA" w:rsidRDefault="00FD73CE" w:rsidP="00411CDA">
            <w:pPr>
              <w:spacing w:line="240" w:lineRule="auto"/>
              <w:jc w:val="center"/>
              <w:rPr>
                <w:rFonts w:ascii="Arial" w:eastAsia="Times New Roman" w:hAnsi="Arial" w:cs="Arial"/>
                <w:b/>
                <w:color w:val="000000"/>
                <w:u w:val="single"/>
                <w:lang w:eastAsia="de-DE"/>
              </w:rPr>
            </w:pPr>
            <w:r w:rsidRPr="00411CDA">
              <w:rPr>
                <w:rFonts w:ascii="Arial" w:eastAsia="Times New Roman" w:hAnsi="Arial" w:cs="Arial"/>
                <w:b/>
                <w:color w:val="000000"/>
                <w:sz w:val="36"/>
                <w:szCs w:val="36"/>
                <w:u w:val="single"/>
                <w:lang w:eastAsia="de-DE"/>
              </w:rPr>
              <w:t>Zuschlagsmatrix</w:t>
            </w:r>
            <w:r w:rsidR="00411CDA">
              <w:rPr>
                <w:rFonts w:ascii="Arial" w:eastAsia="Times New Roman" w:hAnsi="Arial" w:cs="Arial"/>
                <w:b/>
                <w:color w:val="000000"/>
                <w:sz w:val="36"/>
                <w:szCs w:val="36"/>
                <w:u w:val="single"/>
                <w:lang w:eastAsia="de-DE"/>
              </w:rPr>
              <w:br/>
            </w:r>
          </w:p>
          <w:p w:rsidR="00FD73CE" w:rsidRPr="00BD6260" w:rsidRDefault="00FD73CE" w:rsidP="005734B4">
            <w:p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Als Angebotsunterlagen müssen eingereicht werden:</w:t>
            </w:r>
          </w:p>
          <w:p w:rsidR="009E3489" w:rsidRDefault="00FD73CE" w:rsidP="009E3489">
            <w:pPr>
              <w:pStyle w:val="Listenabsatz"/>
              <w:numPr>
                <w:ilvl w:val="0"/>
                <w:numId w:val="8"/>
              </w:numPr>
              <w:spacing w:line="360" w:lineRule="auto"/>
              <w:ind w:left="357" w:hanging="357"/>
              <w:rPr>
                <w:rFonts w:ascii="Arial" w:eastAsia="Times New Roman" w:hAnsi="Arial" w:cs="Arial"/>
                <w:color w:val="000000"/>
                <w:lang w:eastAsia="de-DE"/>
              </w:rPr>
            </w:pPr>
            <w:r w:rsidRPr="009E3489">
              <w:rPr>
                <w:rFonts w:ascii="Arial" w:eastAsia="Times New Roman" w:hAnsi="Arial" w:cs="Arial"/>
                <w:color w:val="000000"/>
                <w:lang w:eastAsia="de-DE"/>
              </w:rPr>
              <w:t>Begleitschreiben</w:t>
            </w:r>
          </w:p>
          <w:p w:rsidR="009E3489" w:rsidRDefault="00FD73CE" w:rsidP="009E3489">
            <w:pPr>
              <w:pStyle w:val="Listenabsatz"/>
              <w:numPr>
                <w:ilvl w:val="0"/>
                <w:numId w:val="8"/>
              </w:numPr>
              <w:spacing w:line="360" w:lineRule="auto"/>
              <w:ind w:left="357" w:hanging="357"/>
              <w:rPr>
                <w:rFonts w:ascii="Arial" w:eastAsia="Times New Roman" w:hAnsi="Arial" w:cs="Arial"/>
                <w:color w:val="000000"/>
                <w:lang w:eastAsia="de-DE"/>
              </w:rPr>
            </w:pPr>
            <w:r w:rsidRPr="009E3489">
              <w:rPr>
                <w:rFonts w:ascii="Arial" w:eastAsia="Times New Roman" w:hAnsi="Arial" w:cs="Arial"/>
                <w:color w:val="000000"/>
                <w:lang w:eastAsia="de-DE"/>
              </w:rPr>
              <w:t>Angebotsschreiben</w:t>
            </w:r>
          </w:p>
          <w:p w:rsidR="009E3489" w:rsidRDefault="00FD73CE" w:rsidP="009E3489">
            <w:pPr>
              <w:pStyle w:val="Listenabsatz"/>
              <w:numPr>
                <w:ilvl w:val="0"/>
                <w:numId w:val="8"/>
              </w:numPr>
              <w:spacing w:line="360" w:lineRule="auto"/>
              <w:ind w:left="357" w:hanging="357"/>
              <w:rPr>
                <w:rFonts w:ascii="Arial" w:eastAsia="Times New Roman" w:hAnsi="Arial" w:cs="Arial"/>
                <w:color w:val="000000"/>
                <w:lang w:eastAsia="de-DE"/>
              </w:rPr>
            </w:pPr>
            <w:r w:rsidRPr="009E3489">
              <w:rPr>
                <w:rFonts w:ascii="Arial" w:eastAsia="Times New Roman" w:hAnsi="Arial" w:cs="Arial"/>
                <w:color w:val="000000"/>
                <w:lang w:eastAsia="de-DE"/>
              </w:rPr>
              <w:t>Ausgefüllter und unterzeichneter Architektenvertrag</w:t>
            </w:r>
          </w:p>
          <w:p w:rsidR="009E3489" w:rsidRDefault="00FD73CE" w:rsidP="009E3489">
            <w:pPr>
              <w:pStyle w:val="Listenabsatz"/>
              <w:numPr>
                <w:ilvl w:val="0"/>
                <w:numId w:val="8"/>
              </w:numPr>
              <w:spacing w:line="360" w:lineRule="auto"/>
              <w:ind w:left="357" w:hanging="357"/>
              <w:rPr>
                <w:rFonts w:ascii="Arial" w:eastAsia="Times New Roman" w:hAnsi="Arial" w:cs="Arial"/>
                <w:color w:val="000000"/>
                <w:lang w:eastAsia="de-DE"/>
              </w:rPr>
            </w:pPr>
            <w:r w:rsidRPr="009E3489">
              <w:rPr>
                <w:rFonts w:ascii="Arial" w:eastAsia="Times New Roman" w:hAnsi="Arial" w:cs="Arial"/>
                <w:color w:val="000000"/>
                <w:lang w:eastAsia="de-DE"/>
              </w:rPr>
              <w:t>Formblatt Honorarangebot</w:t>
            </w:r>
          </w:p>
          <w:p w:rsidR="009E3489" w:rsidRDefault="00FD73CE" w:rsidP="009E3489">
            <w:pPr>
              <w:pStyle w:val="Listenabsatz"/>
              <w:numPr>
                <w:ilvl w:val="0"/>
                <w:numId w:val="8"/>
              </w:numPr>
              <w:spacing w:line="360" w:lineRule="auto"/>
              <w:ind w:left="357" w:hanging="357"/>
              <w:rPr>
                <w:rFonts w:ascii="Arial" w:eastAsia="Times New Roman" w:hAnsi="Arial" w:cs="Arial"/>
                <w:color w:val="000000"/>
                <w:lang w:eastAsia="de-DE"/>
              </w:rPr>
            </w:pPr>
            <w:r w:rsidRPr="009E3489">
              <w:rPr>
                <w:rFonts w:ascii="Arial" w:eastAsia="Times New Roman" w:hAnsi="Arial" w:cs="Arial"/>
                <w:color w:val="000000"/>
                <w:lang w:eastAsia="de-DE"/>
              </w:rPr>
              <w:t>Kurzlebenslauf</w:t>
            </w:r>
          </w:p>
          <w:p w:rsidR="009E3489" w:rsidRDefault="00FD73CE" w:rsidP="009E3489">
            <w:pPr>
              <w:pStyle w:val="Listenabsatz"/>
              <w:numPr>
                <w:ilvl w:val="0"/>
                <w:numId w:val="8"/>
              </w:numPr>
              <w:spacing w:line="360" w:lineRule="auto"/>
              <w:ind w:left="357" w:hanging="357"/>
              <w:rPr>
                <w:rFonts w:ascii="Arial" w:eastAsia="Times New Roman" w:hAnsi="Arial" w:cs="Arial"/>
                <w:color w:val="000000"/>
                <w:lang w:eastAsia="de-DE"/>
              </w:rPr>
            </w:pPr>
            <w:r w:rsidRPr="009E3489">
              <w:rPr>
                <w:rFonts w:ascii="Arial" w:eastAsia="Times New Roman" w:hAnsi="Arial" w:cs="Arial"/>
                <w:color w:val="000000"/>
                <w:lang w:eastAsia="de-DE"/>
              </w:rPr>
              <w:t>Projektansatz</w:t>
            </w:r>
          </w:p>
          <w:p w:rsidR="00FD73CE" w:rsidRPr="009E3489" w:rsidRDefault="00FD73CE" w:rsidP="009E3489">
            <w:pPr>
              <w:pStyle w:val="Listenabsatz"/>
              <w:numPr>
                <w:ilvl w:val="0"/>
                <w:numId w:val="8"/>
              </w:numPr>
              <w:spacing w:line="360" w:lineRule="auto"/>
              <w:ind w:left="357" w:hanging="357"/>
              <w:rPr>
                <w:rFonts w:ascii="Arial" w:eastAsia="Times New Roman" w:hAnsi="Arial" w:cs="Arial"/>
                <w:color w:val="000000"/>
                <w:lang w:eastAsia="de-DE"/>
              </w:rPr>
            </w:pPr>
            <w:r w:rsidRPr="009E3489">
              <w:rPr>
                <w:rFonts w:ascii="Arial" w:eastAsia="Times New Roman" w:hAnsi="Arial" w:cs="Arial"/>
                <w:color w:val="000000"/>
                <w:lang w:eastAsia="de-DE"/>
              </w:rPr>
              <w:t>Gesamtkonzept zur Auftragsbezogenen Qualitätssicherung</w:t>
            </w:r>
            <w:r w:rsidRPr="009E3489">
              <w:rPr>
                <w:rFonts w:ascii="Arial" w:eastAsia="Times New Roman" w:hAnsi="Arial" w:cs="Arial"/>
                <w:color w:val="000000"/>
                <w:lang w:eastAsia="de-DE"/>
              </w:rPr>
              <w:br/>
            </w:r>
          </w:p>
          <w:p w:rsidR="00FD73CE" w:rsidRPr="00BD6260" w:rsidRDefault="00FD73CE" w:rsidP="005734B4">
            <w:pPr>
              <w:spacing w:line="240" w:lineRule="auto"/>
              <w:rPr>
                <w:rFonts w:ascii="Arial" w:eastAsia="Times New Roman" w:hAnsi="Arial" w:cs="Arial"/>
                <w:color w:val="000000"/>
                <w:u w:val="single"/>
                <w:lang w:eastAsia="de-DE"/>
              </w:rPr>
            </w:pPr>
            <w:r w:rsidRPr="00BD6260">
              <w:rPr>
                <w:rFonts w:ascii="Arial" w:eastAsia="Times New Roman" w:hAnsi="Arial" w:cs="Arial"/>
                <w:color w:val="000000"/>
                <w:u w:val="single"/>
                <w:lang w:eastAsia="de-DE"/>
              </w:rPr>
              <w:t>Qualifikation und Erfahrung des mit der Ausführung des Auftrags betrauten Personals</w:t>
            </w:r>
          </w:p>
          <w:p w:rsidR="009E3489" w:rsidRDefault="00FD73CE" w:rsidP="005734B4">
            <w:p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Die Qualifikation und Erfahrung der Projektleitung (PL) in der Planung und in der Bauüberwachung ist in einem kurzen Lebenslauf von jeweils max. 2 DIN A4- Seiten darzustellen.</w:t>
            </w:r>
          </w:p>
          <w:p w:rsidR="009E3489" w:rsidRPr="009E3489" w:rsidRDefault="009E3489" w:rsidP="005734B4">
            <w:pPr>
              <w:spacing w:line="240" w:lineRule="auto"/>
              <w:rPr>
                <w:rFonts w:ascii="Arial" w:eastAsia="Times New Roman" w:hAnsi="Arial" w:cs="Arial"/>
                <w:color w:val="000000"/>
                <w:lang w:eastAsia="de-DE"/>
              </w:rPr>
            </w:pPr>
          </w:p>
          <w:p w:rsidR="000A4AC8" w:rsidRDefault="00FD73CE" w:rsidP="000A4AC8">
            <w:pPr>
              <w:pStyle w:val="Listenabsatz"/>
              <w:numPr>
                <w:ilvl w:val="0"/>
                <w:numId w:val="5"/>
              </w:num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Auftragsbezogene Berufserfahrung der Projektleitung in der Planung</w:t>
            </w:r>
            <w:r w:rsidR="00012EE6" w:rsidRPr="00BD6260">
              <w:rPr>
                <w:rFonts w:ascii="Arial" w:eastAsia="Times New Roman" w:hAnsi="Arial" w:cs="Arial"/>
                <w:color w:val="000000"/>
                <w:lang w:eastAsia="de-DE"/>
              </w:rPr>
              <w:br/>
              <w:t>Die Bewertung erfolgt anhand der Dauer der Berufserfahrung des Projektleitung (ohne Praktika) in der Objektplanung (Planung)</w:t>
            </w:r>
          </w:p>
          <w:p w:rsidR="000A4AC8" w:rsidRPr="000A4AC8" w:rsidRDefault="000A4AC8" w:rsidP="000A4AC8">
            <w:pPr>
              <w:pStyle w:val="Listenabsatz"/>
              <w:spacing w:line="240" w:lineRule="auto"/>
              <w:ind w:left="360"/>
              <w:rPr>
                <w:rFonts w:ascii="Arial" w:eastAsia="Times New Roman" w:hAnsi="Arial" w:cs="Arial"/>
                <w:color w:val="000000"/>
                <w:lang w:eastAsia="de-DE"/>
              </w:rPr>
            </w:pPr>
          </w:p>
          <w:p w:rsidR="009E3489" w:rsidRDefault="00012EE6" w:rsidP="009E3489">
            <w:pPr>
              <w:pStyle w:val="Listenabsatz"/>
              <w:numPr>
                <w:ilvl w:val="0"/>
                <w:numId w:val="5"/>
              </w:num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Auftragsbezogene Berufserfahrung der Projektleitung in der Bauüberwachung</w:t>
            </w:r>
            <w:r w:rsidRPr="00BD6260">
              <w:rPr>
                <w:rFonts w:ascii="Arial" w:eastAsia="Times New Roman" w:hAnsi="Arial" w:cs="Arial"/>
                <w:color w:val="000000"/>
                <w:lang w:eastAsia="de-DE"/>
              </w:rPr>
              <w:br/>
              <w:t>Die Bewertung erfolgt anhand der Dauer der Berufserfahrung des Projektleitung (ohne Praktika) in der Bauüberwachung</w:t>
            </w:r>
          </w:p>
          <w:p w:rsidR="000A4AC8" w:rsidRPr="000A4AC8" w:rsidRDefault="000A4AC8" w:rsidP="000A4AC8">
            <w:pPr>
              <w:spacing w:line="240" w:lineRule="auto"/>
              <w:rPr>
                <w:rFonts w:ascii="Arial" w:eastAsia="Times New Roman" w:hAnsi="Arial" w:cs="Arial"/>
                <w:color w:val="000000"/>
                <w:lang w:eastAsia="de-DE"/>
              </w:rPr>
            </w:pPr>
          </w:p>
          <w:p w:rsidR="00012EE6" w:rsidRPr="009E3489" w:rsidRDefault="00012EE6" w:rsidP="009E3489">
            <w:pPr>
              <w:spacing w:line="240" w:lineRule="auto"/>
              <w:rPr>
                <w:rFonts w:ascii="Arial" w:eastAsia="Times New Roman" w:hAnsi="Arial" w:cs="Arial"/>
                <w:color w:val="000000"/>
                <w:lang w:eastAsia="de-DE"/>
              </w:rPr>
            </w:pPr>
            <w:r w:rsidRPr="009E3489">
              <w:rPr>
                <w:rFonts w:ascii="Arial" w:eastAsia="Times New Roman" w:hAnsi="Arial" w:cs="Arial"/>
                <w:color w:val="000000"/>
                <w:u w:val="single"/>
                <w:lang w:eastAsia="de-DE"/>
              </w:rPr>
              <w:t>Auftragsbezogene Qualitätssicherung</w:t>
            </w:r>
          </w:p>
          <w:p w:rsidR="00012EE6" w:rsidRPr="00BD6260" w:rsidRDefault="00012EE6" w:rsidP="005734B4">
            <w:p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 xml:space="preserve">Die Bewertung des Kriteriums Auftragsbezogene Qualitätssicherung erfolgt anhand eines Gesamtkonzepts, das die Bewerber zusammen mit Ihrem Angebot innerhalb der </w:t>
            </w:r>
            <w:r w:rsidRPr="00BD6260">
              <w:rPr>
                <w:rFonts w:ascii="Arial" w:eastAsia="Times New Roman" w:hAnsi="Arial" w:cs="Arial"/>
                <w:color w:val="000000"/>
                <w:lang w:eastAsia="de-DE"/>
              </w:rPr>
              <w:lastRenderedPageBreak/>
              <w:t>Angebotsfrist einzureichen haben. Das Gesamtkonzept soll die nachfolgenden Unterkriterien abbilden</w:t>
            </w:r>
          </w:p>
          <w:p w:rsidR="00012EE6" w:rsidRDefault="00012EE6" w:rsidP="005734B4">
            <w:pPr>
              <w:pStyle w:val="Listenabsatz"/>
              <w:numPr>
                <w:ilvl w:val="0"/>
                <w:numId w:val="6"/>
              </w:num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Auftragsbezogenes Organisationskonzept, insbesondere Darstellung der Art und Weise der Abstimmung/Kommunikation (innerhalb Projektteam, mit Objekt- und anderen Fachplanern und mit AG).</w:t>
            </w:r>
          </w:p>
          <w:p w:rsidR="009E3489" w:rsidRPr="00BD6260" w:rsidRDefault="009E3489" w:rsidP="009E3489">
            <w:pPr>
              <w:pStyle w:val="Listenabsatz"/>
              <w:spacing w:line="240" w:lineRule="auto"/>
              <w:ind w:left="360"/>
              <w:rPr>
                <w:rFonts w:ascii="Arial" w:eastAsia="Times New Roman" w:hAnsi="Arial" w:cs="Arial"/>
                <w:color w:val="000000"/>
                <w:lang w:eastAsia="de-DE"/>
              </w:rPr>
            </w:pPr>
          </w:p>
          <w:p w:rsidR="009E3489" w:rsidRPr="009E3489" w:rsidRDefault="00012EE6" w:rsidP="009E3489">
            <w:pPr>
              <w:pStyle w:val="Listenabsatz"/>
              <w:numPr>
                <w:ilvl w:val="0"/>
                <w:numId w:val="6"/>
              </w:num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Auftragsbezogener Personaleinsatzplan, personenscharf und monatsgenau, auf Terminplan bezogen und realistisch, Darstellung einer Personalreserve (z</w:t>
            </w:r>
            <w:r w:rsidR="005734B4">
              <w:rPr>
                <w:rFonts w:ascii="Arial" w:eastAsia="Times New Roman" w:hAnsi="Arial" w:cs="Arial"/>
                <w:color w:val="000000"/>
                <w:lang w:eastAsia="de-DE"/>
              </w:rPr>
              <w:t>.</w:t>
            </w:r>
            <w:r w:rsidRPr="00BD6260">
              <w:rPr>
                <w:rFonts w:ascii="Arial" w:eastAsia="Times New Roman" w:hAnsi="Arial" w:cs="Arial"/>
                <w:color w:val="000000"/>
                <w:lang w:eastAsia="de-DE"/>
              </w:rPr>
              <w:t>B</w:t>
            </w:r>
            <w:r w:rsidR="00795EE6" w:rsidRPr="00BD6260">
              <w:rPr>
                <w:rFonts w:ascii="Arial" w:eastAsia="Times New Roman" w:hAnsi="Arial" w:cs="Arial"/>
                <w:color w:val="000000"/>
                <w:lang w:eastAsia="de-DE"/>
              </w:rPr>
              <w:t>.</w:t>
            </w:r>
            <w:r w:rsidRPr="00BD6260">
              <w:rPr>
                <w:rFonts w:ascii="Arial" w:eastAsia="Times New Roman" w:hAnsi="Arial" w:cs="Arial"/>
                <w:color w:val="000000"/>
                <w:lang w:eastAsia="de-DE"/>
              </w:rPr>
              <w:t xml:space="preserve"> Krankheit, Unfall, Urlaub)</w:t>
            </w:r>
          </w:p>
          <w:p w:rsidR="009E3489" w:rsidRPr="00BD6260" w:rsidRDefault="009E3489" w:rsidP="009E3489">
            <w:pPr>
              <w:pStyle w:val="Listenabsatz"/>
              <w:spacing w:line="240" w:lineRule="auto"/>
              <w:ind w:left="360"/>
              <w:rPr>
                <w:rFonts w:ascii="Arial" w:eastAsia="Times New Roman" w:hAnsi="Arial" w:cs="Arial"/>
                <w:color w:val="000000"/>
                <w:lang w:eastAsia="de-DE"/>
              </w:rPr>
            </w:pPr>
          </w:p>
          <w:p w:rsidR="009E3489" w:rsidRPr="009E3489" w:rsidRDefault="00012EE6" w:rsidP="009E3489">
            <w:pPr>
              <w:pStyle w:val="Listenabsatz"/>
              <w:numPr>
                <w:ilvl w:val="0"/>
                <w:numId w:val="6"/>
              </w:num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Auftragsbezogene Methoden zur Qualitäts-, Termin- und Kostenkontrolle, insbesondere Ermittlung und Verfolgung der Kosten, Sicherstellung der vorgegebenen Termine, Umgang mit Planungsänderungen und Nachtragsmanagement, Qualitätsmanagement bei Planung und nachfolgender Ausführung</w:t>
            </w:r>
          </w:p>
          <w:p w:rsidR="009E3489" w:rsidRPr="009E3489" w:rsidRDefault="009E3489" w:rsidP="009E3489">
            <w:pPr>
              <w:pStyle w:val="Listenabsatz"/>
              <w:spacing w:line="240" w:lineRule="auto"/>
              <w:ind w:left="360"/>
              <w:rPr>
                <w:rFonts w:ascii="Arial" w:eastAsia="Times New Roman" w:hAnsi="Arial" w:cs="Arial"/>
                <w:color w:val="000000"/>
                <w:lang w:eastAsia="de-DE"/>
              </w:rPr>
            </w:pPr>
          </w:p>
          <w:p w:rsidR="009E3489" w:rsidRDefault="00012EE6" w:rsidP="009E3489">
            <w:pPr>
              <w:pStyle w:val="Listenabsatz"/>
              <w:numPr>
                <w:ilvl w:val="0"/>
                <w:numId w:val="6"/>
              </w:num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Auftragsbezogene Herangehensweise an konkrete Aufgabenstellung, insbesondere</w:t>
            </w:r>
          </w:p>
          <w:p w:rsidR="009E3489" w:rsidRPr="00DB3C9C" w:rsidRDefault="009E3489" w:rsidP="009E3489">
            <w:pPr>
              <w:pStyle w:val="Listenabsatz"/>
              <w:spacing w:line="240" w:lineRule="auto"/>
              <w:ind w:left="0"/>
              <w:rPr>
                <w:rFonts w:ascii="Arial" w:eastAsia="Times New Roman" w:hAnsi="Arial" w:cs="Arial"/>
                <w:color w:val="000000"/>
                <w:sz w:val="12"/>
                <w:lang w:eastAsia="de-DE"/>
              </w:rPr>
            </w:pPr>
          </w:p>
          <w:p w:rsidR="009E3489" w:rsidRDefault="009E3489" w:rsidP="009E3489">
            <w:pPr>
              <w:pStyle w:val="Listenabsatz"/>
              <w:spacing w:line="240" w:lineRule="auto"/>
              <w:ind w:left="708"/>
              <w:rPr>
                <w:rFonts w:ascii="Arial" w:eastAsia="Times New Roman" w:hAnsi="Arial" w:cs="Arial"/>
                <w:color w:val="000000"/>
                <w:lang w:eastAsia="de-DE"/>
              </w:rPr>
            </w:pPr>
            <w:r>
              <w:rPr>
                <w:rFonts w:ascii="Arial" w:eastAsia="Times New Roman" w:hAnsi="Arial" w:cs="Arial"/>
                <w:color w:val="000000"/>
                <w:lang w:eastAsia="de-DE"/>
              </w:rPr>
              <w:t xml:space="preserve">- </w:t>
            </w:r>
            <w:r w:rsidR="00012EE6" w:rsidRPr="00BD6260">
              <w:rPr>
                <w:rFonts w:ascii="Arial" w:eastAsia="Times New Roman" w:hAnsi="Arial" w:cs="Arial"/>
                <w:color w:val="000000"/>
                <w:lang w:eastAsia="de-DE"/>
              </w:rPr>
              <w:t>Kurzanalyse der Aufgabenstellung (Sanierung</w:t>
            </w:r>
            <w:r w:rsidR="00795EE6" w:rsidRPr="00BD6260">
              <w:rPr>
                <w:rFonts w:ascii="Arial" w:eastAsia="Times New Roman" w:hAnsi="Arial" w:cs="Arial"/>
                <w:color w:val="000000"/>
                <w:lang w:eastAsia="de-DE"/>
              </w:rPr>
              <w:t>/Anbau</w:t>
            </w:r>
            <w:r w:rsidR="00012EE6" w:rsidRPr="00BD6260">
              <w:rPr>
                <w:rFonts w:ascii="Arial" w:eastAsia="Times New Roman" w:hAnsi="Arial" w:cs="Arial"/>
                <w:color w:val="000000"/>
                <w:lang w:eastAsia="de-DE"/>
              </w:rPr>
              <w:t xml:space="preserve"> im laufenden Betrieb) und hieraus entwickelte Vorgehensweise zur Erarbeitung von Lösungskonzepten für die ausgeschriebene Leistung, soweit erforderlich unter Berücksichtigung von Interimsmaßnahmen; </w:t>
            </w:r>
          </w:p>
          <w:p w:rsidR="009E3489" w:rsidRPr="00DB3C9C" w:rsidRDefault="009E3489" w:rsidP="009E3489">
            <w:pPr>
              <w:pStyle w:val="Listenabsatz"/>
              <w:spacing w:line="240" w:lineRule="auto"/>
              <w:ind w:left="708"/>
              <w:rPr>
                <w:rFonts w:ascii="Arial" w:eastAsia="Times New Roman" w:hAnsi="Arial" w:cs="Arial"/>
                <w:color w:val="000000"/>
                <w:sz w:val="12"/>
                <w:lang w:eastAsia="de-DE"/>
              </w:rPr>
            </w:pPr>
          </w:p>
          <w:p w:rsidR="009E3489" w:rsidRDefault="00012EE6" w:rsidP="009E3489">
            <w:pPr>
              <w:pStyle w:val="Listenabsatz"/>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 xml:space="preserve">- Optimierungsmaßnahmen für Machbarkeitsstudie unter Berücksichtigung zeitgemäßer Lernkonzepte und moderner Schulbaukonzepte </w:t>
            </w:r>
          </w:p>
          <w:p w:rsidR="009E3489" w:rsidRPr="00DB3C9C" w:rsidRDefault="009E3489" w:rsidP="009E3489">
            <w:pPr>
              <w:pStyle w:val="Listenabsatz"/>
              <w:spacing w:line="240" w:lineRule="auto"/>
              <w:rPr>
                <w:rFonts w:ascii="Arial" w:eastAsia="Times New Roman" w:hAnsi="Arial" w:cs="Arial"/>
                <w:color w:val="000000"/>
                <w:sz w:val="12"/>
                <w:lang w:eastAsia="de-DE"/>
              </w:rPr>
            </w:pPr>
          </w:p>
          <w:p w:rsidR="009E3489" w:rsidRDefault="00012EE6" w:rsidP="009E3489">
            <w:pPr>
              <w:pStyle w:val="Listenabsatz"/>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 Ablaufkonzept für Sanierung im Bestand (laufender Schulbetrieb) unter Minimierung des Aufwands für Interimsmaßnahmen</w:t>
            </w:r>
          </w:p>
          <w:p w:rsidR="009E3489" w:rsidRPr="009E3489" w:rsidRDefault="009E3489" w:rsidP="009E3489">
            <w:pPr>
              <w:pStyle w:val="Listenabsatz"/>
              <w:spacing w:line="240" w:lineRule="auto"/>
              <w:rPr>
                <w:rFonts w:ascii="Arial" w:eastAsia="Times New Roman" w:hAnsi="Arial" w:cs="Arial"/>
                <w:color w:val="000000"/>
                <w:lang w:eastAsia="de-DE"/>
              </w:rPr>
            </w:pPr>
          </w:p>
          <w:p w:rsidR="00012EE6" w:rsidRPr="00BD6260" w:rsidRDefault="00012EE6" w:rsidP="005734B4">
            <w:pPr>
              <w:pStyle w:val="Listenabsatz"/>
              <w:numPr>
                <w:ilvl w:val="0"/>
                <w:numId w:val="6"/>
              </w:num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Präsenz vor Ort während Leistungserbringung, insbesondere mit stets regelmäßiger Erreichbarkeit, Häufigkeit der Planungsgespräche vor Ort und Präsenz während Bauphase.</w:t>
            </w:r>
          </w:p>
          <w:p w:rsidR="00012EE6" w:rsidRPr="00BD6260" w:rsidRDefault="00012EE6" w:rsidP="005734B4">
            <w:pPr>
              <w:spacing w:line="240" w:lineRule="auto"/>
              <w:rPr>
                <w:rFonts w:ascii="Arial" w:eastAsia="Times New Roman" w:hAnsi="Arial" w:cs="Arial"/>
                <w:color w:val="000000"/>
                <w:lang w:eastAsia="de-DE"/>
              </w:rPr>
            </w:pPr>
          </w:p>
          <w:p w:rsidR="00795EE6" w:rsidRPr="00BD6260" w:rsidRDefault="00795EE6" w:rsidP="005734B4">
            <w:pPr>
              <w:spacing w:line="240" w:lineRule="auto"/>
              <w:rPr>
                <w:rFonts w:ascii="Arial" w:eastAsia="Times New Roman" w:hAnsi="Arial" w:cs="Arial"/>
                <w:color w:val="000000"/>
                <w:lang w:eastAsia="de-DE"/>
              </w:rPr>
            </w:pPr>
            <w:r w:rsidRPr="00BD6260">
              <w:rPr>
                <w:rFonts w:ascii="Arial" w:eastAsia="Times New Roman" w:hAnsi="Arial" w:cs="Arial"/>
                <w:color w:val="000000"/>
                <w:u w:val="single"/>
                <w:lang w:eastAsia="de-DE"/>
              </w:rPr>
              <w:t>Preisliche Zuschlagskriterien</w:t>
            </w:r>
            <w:r w:rsidRPr="00BD6260">
              <w:rPr>
                <w:rFonts w:ascii="Arial" w:eastAsia="Times New Roman" w:hAnsi="Arial" w:cs="Arial"/>
                <w:color w:val="000000"/>
                <w:u w:val="single"/>
                <w:lang w:eastAsia="de-DE"/>
              </w:rPr>
              <w:br/>
            </w:r>
            <w:r w:rsidRPr="00BD6260">
              <w:rPr>
                <w:rFonts w:ascii="Arial" w:eastAsia="Times New Roman" w:hAnsi="Arial" w:cs="Arial"/>
                <w:color w:val="000000"/>
                <w:u w:val="single"/>
                <w:lang w:eastAsia="de-DE"/>
              </w:rPr>
              <w:br/>
            </w:r>
            <w:r w:rsidRPr="00BD6260">
              <w:rPr>
                <w:rFonts w:ascii="Arial" w:eastAsia="Times New Roman" w:hAnsi="Arial" w:cs="Arial"/>
                <w:color w:val="000000"/>
                <w:lang w:eastAsia="de-DE"/>
              </w:rPr>
              <w:t>Der Preis wird anhand der Gesamtsumme Honorar der jeweiligen Angebote bewertet.</w:t>
            </w:r>
          </w:p>
          <w:p w:rsidR="00FD73CE" w:rsidRPr="00BD6260" w:rsidRDefault="00795EE6" w:rsidP="005734B4">
            <w:pPr>
              <w:spacing w:line="240" w:lineRule="auto"/>
              <w:rPr>
                <w:rFonts w:ascii="Arial" w:eastAsia="Times New Roman" w:hAnsi="Arial" w:cs="Arial"/>
                <w:color w:val="000000"/>
                <w:lang w:eastAsia="de-DE"/>
              </w:rPr>
            </w:pPr>
            <w:r w:rsidRPr="00BD6260">
              <w:rPr>
                <w:rFonts w:ascii="Arial" w:eastAsia="Times New Roman" w:hAnsi="Arial" w:cs="Arial"/>
                <w:color w:val="000000"/>
                <w:lang w:eastAsia="de-DE"/>
              </w:rPr>
              <w:t>Das niedrigste Honorarangebot erhält die Höchstpunktzahl von 200 Punkten. Die weiteren Angebote erhalten die Punktzahl, die dem Verhältnis ihres Honorarangebots zum niedrigsten Angebot entspricht. Die erreichte Punktzahl wird mit der vorher festgelegten Gewichtung multipliziert (</w:t>
            </w:r>
            <w:proofErr w:type="spellStart"/>
            <w:r w:rsidRPr="00BD6260">
              <w:rPr>
                <w:rFonts w:ascii="Arial" w:eastAsia="Times New Roman" w:hAnsi="Arial" w:cs="Arial"/>
                <w:color w:val="000000"/>
                <w:lang w:eastAsia="de-DE"/>
              </w:rPr>
              <w:t>max</w:t>
            </w:r>
            <w:proofErr w:type="spellEnd"/>
            <w:r w:rsidRPr="00BD6260">
              <w:rPr>
                <w:rFonts w:ascii="Arial" w:eastAsia="Times New Roman" w:hAnsi="Arial" w:cs="Arial"/>
                <w:color w:val="000000"/>
                <w:lang w:eastAsia="de-DE"/>
              </w:rPr>
              <w:t xml:space="preserve"> 20%).</w:t>
            </w:r>
            <w:r w:rsidRPr="00BD6260">
              <w:rPr>
                <w:rFonts w:ascii="Arial" w:eastAsia="Times New Roman" w:hAnsi="Arial" w:cs="Arial"/>
                <w:color w:val="000000"/>
                <w:lang w:eastAsia="de-DE"/>
              </w:rPr>
              <w:br/>
            </w:r>
          </w:p>
        </w:tc>
      </w:tr>
      <w:tr w:rsidR="008251FF" w:rsidRPr="008251FF" w:rsidTr="00FD73CE">
        <w:trPr>
          <w:trHeight w:val="2239"/>
        </w:trPr>
        <w:tc>
          <w:tcPr>
            <w:tcW w:w="9240" w:type="dxa"/>
            <w:vMerge/>
            <w:vAlign w:val="center"/>
          </w:tcPr>
          <w:p w:rsidR="008251FF" w:rsidRPr="008251FF" w:rsidRDefault="008251FF" w:rsidP="005734B4">
            <w:pPr>
              <w:spacing w:after="0" w:line="240" w:lineRule="auto"/>
              <w:rPr>
                <w:rFonts w:ascii="Arial" w:eastAsia="Times New Roman" w:hAnsi="Arial" w:cs="Arial"/>
                <w:color w:val="000000"/>
                <w:lang w:eastAsia="de-DE"/>
              </w:rPr>
            </w:pPr>
          </w:p>
        </w:tc>
      </w:tr>
    </w:tbl>
    <w:p w:rsidR="00FC5DAE" w:rsidRPr="009E3489" w:rsidRDefault="00FC5DAE" w:rsidP="00411602">
      <w:pPr>
        <w:spacing w:after="0" w:line="240" w:lineRule="auto"/>
        <w:rPr>
          <w:rFonts w:ascii="Calibri" w:eastAsia="Times New Roman" w:hAnsi="Calibri" w:cs="Calibri"/>
          <w:color w:val="000000"/>
          <w:u w:val="single"/>
          <w:lang w:eastAsia="de-DE"/>
        </w:rPr>
      </w:pPr>
    </w:p>
    <w:sectPr w:rsidR="00FC5DAE" w:rsidRPr="009E34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8A3" w:rsidRDefault="004D08A3" w:rsidP="005734B4">
      <w:pPr>
        <w:spacing w:after="0" w:line="240" w:lineRule="auto"/>
      </w:pPr>
      <w:r>
        <w:separator/>
      </w:r>
    </w:p>
  </w:endnote>
  <w:endnote w:type="continuationSeparator" w:id="0">
    <w:p w:rsidR="004D08A3" w:rsidRDefault="004D08A3" w:rsidP="0057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8A3" w:rsidRDefault="004D08A3" w:rsidP="005734B4">
      <w:pPr>
        <w:spacing w:after="0" w:line="240" w:lineRule="auto"/>
      </w:pPr>
      <w:r>
        <w:separator/>
      </w:r>
    </w:p>
  </w:footnote>
  <w:footnote w:type="continuationSeparator" w:id="0">
    <w:p w:rsidR="004D08A3" w:rsidRDefault="004D08A3" w:rsidP="00573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2209"/>
    <w:multiLevelType w:val="hybridMultilevel"/>
    <w:tmpl w:val="B98A8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B23973"/>
    <w:multiLevelType w:val="hybridMultilevel"/>
    <w:tmpl w:val="76CE5AF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ED04947"/>
    <w:multiLevelType w:val="hybridMultilevel"/>
    <w:tmpl w:val="E0360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0E77D20"/>
    <w:multiLevelType w:val="hybridMultilevel"/>
    <w:tmpl w:val="F662B6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045590"/>
    <w:multiLevelType w:val="hybridMultilevel"/>
    <w:tmpl w:val="68FE68C6"/>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DA47D5B"/>
    <w:multiLevelType w:val="hybridMultilevel"/>
    <w:tmpl w:val="94DAF9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4DB5FB2"/>
    <w:multiLevelType w:val="hybridMultilevel"/>
    <w:tmpl w:val="4B8EF1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4006D1D"/>
    <w:multiLevelType w:val="hybridMultilevel"/>
    <w:tmpl w:val="91DC0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AE"/>
    <w:rsid w:val="00012EE6"/>
    <w:rsid w:val="000554B3"/>
    <w:rsid w:val="00081385"/>
    <w:rsid w:val="000A4AC8"/>
    <w:rsid w:val="003005FC"/>
    <w:rsid w:val="00365772"/>
    <w:rsid w:val="00411602"/>
    <w:rsid w:val="00411CDA"/>
    <w:rsid w:val="004D08A3"/>
    <w:rsid w:val="004D0F62"/>
    <w:rsid w:val="005734B4"/>
    <w:rsid w:val="006532F9"/>
    <w:rsid w:val="00795EE6"/>
    <w:rsid w:val="008251FF"/>
    <w:rsid w:val="008A3DC0"/>
    <w:rsid w:val="00904851"/>
    <w:rsid w:val="009E3489"/>
    <w:rsid w:val="00A64DEA"/>
    <w:rsid w:val="00BD6260"/>
    <w:rsid w:val="00DB3C9C"/>
    <w:rsid w:val="00DE0D8D"/>
    <w:rsid w:val="00FC5DAE"/>
    <w:rsid w:val="00FD7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0298"/>
  <w15:chartTrackingRefBased/>
  <w15:docId w15:val="{C172D66F-108C-401C-8FB1-90021A13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51FF"/>
    <w:pPr>
      <w:ind w:left="720"/>
      <w:contextualSpacing/>
    </w:pPr>
  </w:style>
  <w:style w:type="paragraph" w:styleId="Kopfzeile">
    <w:name w:val="header"/>
    <w:basedOn w:val="Standard"/>
    <w:link w:val="KopfzeileZchn"/>
    <w:uiPriority w:val="99"/>
    <w:unhideWhenUsed/>
    <w:rsid w:val="00573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4B4"/>
  </w:style>
  <w:style w:type="paragraph" w:styleId="Fuzeile">
    <w:name w:val="footer"/>
    <w:basedOn w:val="Standard"/>
    <w:link w:val="FuzeileZchn"/>
    <w:uiPriority w:val="99"/>
    <w:unhideWhenUsed/>
    <w:rsid w:val="00573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4B4"/>
  </w:style>
  <w:style w:type="paragraph" w:styleId="Sprechblasentext">
    <w:name w:val="Balloon Text"/>
    <w:basedOn w:val="Standard"/>
    <w:link w:val="SprechblasentextZchn"/>
    <w:uiPriority w:val="99"/>
    <w:semiHidden/>
    <w:unhideWhenUsed/>
    <w:rsid w:val="00411C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1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2385">
      <w:bodyDiv w:val="1"/>
      <w:marLeft w:val="0"/>
      <w:marRight w:val="0"/>
      <w:marTop w:val="0"/>
      <w:marBottom w:val="0"/>
      <w:divBdr>
        <w:top w:val="none" w:sz="0" w:space="0" w:color="auto"/>
        <w:left w:val="none" w:sz="0" w:space="0" w:color="auto"/>
        <w:bottom w:val="none" w:sz="0" w:space="0" w:color="auto"/>
        <w:right w:val="none" w:sz="0" w:space="0" w:color="auto"/>
      </w:divBdr>
    </w:div>
    <w:div w:id="164441852">
      <w:bodyDiv w:val="1"/>
      <w:marLeft w:val="0"/>
      <w:marRight w:val="0"/>
      <w:marTop w:val="0"/>
      <w:marBottom w:val="0"/>
      <w:divBdr>
        <w:top w:val="none" w:sz="0" w:space="0" w:color="auto"/>
        <w:left w:val="none" w:sz="0" w:space="0" w:color="auto"/>
        <w:bottom w:val="none" w:sz="0" w:space="0" w:color="auto"/>
        <w:right w:val="none" w:sz="0" w:space="0" w:color="auto"/>
      </w:divBdr>
    </w:div>
    <w:div w:id="300380438">
      <w:bodyDiv w:val="1"/>
      <w:marLeft w:val="0"/>
      <w:marRight w:val="0"/>
      <w:marTop w:val="0"/>
      <w:marBottom w:val="0"/>
      <w:divBdr>
        <w:top w:val="none" w:sz="0" w:space="0" w:color="auto"/>
        <w:left w:val="none" w:sz="0" w:space="0" w:color="auto"/>
        <w:bottom w:val="none" w:sz="0" w:space="0" w:color="auto"/>
        <w:right w:val="none" w:sz="0" w:space="0" w:color="auto"/>
      </w:divBdr>
    </w:div>
    <w:div w:id="346374272">
      <w:bodyDiv w:val="1"/>
      <w:marLeft w:val="0"/>
      <w:marRight w:val="0"/>
      <w:marTop w:val="0"/>
      <w:marBottom w:val="0"/>
      <w:divBdr>
        <w:top w:val="none" w:sz="0" w:space="0" w:color="auto"/>
        <w:left w:val="none" w:sz="0" w:space="0" w:color="auto"/>
        <w:bottom w:val="none" w:sz="0" w:space="0" w:color="auto"/>
        <w:right w:val="none" w:sz="0" w:space="0" w:color="auto"/>
      </w:divBdr>
    </w:div>
    <w:div w:id="380634718">
      <w:bodyDiv w:val="1"/>
      <w:marLeft w:val="0"/>
      <w:marRight w:val="0"/>
      <w:marTop w:val="0"/>
      <w:marBottom w:val="0"/>
      <w:divBdr>
        <w:top w:val="none" w:sz="0" w:space="0" w:color="auto"/>
        <w:left w:val="none" w:sz="0" w:space="0" w:color="auto"/>
        <w:bottom w:val="none" w:sz="0" w:space="0" w:color="auto"/>
        <w:right w:val="none" w:sz="0" w:space="0" w:color="auto"/>
      </w:divBdr>
    </w:div>
    <w:div w:id="925502369">
      <w:bodyDiv w:val="1"/>
      <w:marLeft w:val="0"/>
      <w:marRight w:val="0"/>
      <w:marTop w:val="0"/>
      <w:marBottom w:val="0"/>
      <w:divBdr>
        <w:top w:val="none" w:sz="0" w:space="0" w:color="auto"/>
        <w:left w:val="none" w:sz="0" w:space="0" w:color="auto"/>
        <w:bottom w:val="none" w:sz="0" w:space="0" w:color="auto"/>
        <w:right w:val="none" w:sz="0" w:space="0" w:color="auto"/>
      </w:divBdr>
    </w:div>
    <w:div w:id="1050108109">
      <w:bodyDiv w:val="1"/>
      <w:marLeft w:val="0"/>
      <w:marRight w:val="0"/>
      <w:marTop w:val="0"/>
      <w:marBottom w:val="0"/>
      <w:divBdr>
        <w:top w:val="none" w:sz="0" w:space="0" w:color="auto"/>
        <w:left w:val="none" w:sz="0" w:space="0" w:color="auto"/>
        <w:bottom w:val="none" w:sz="0" w:space="0" w:color="auto"/>
        <w:right w:val="none" w:sz="0" w:space="0" w:color="auto"/>
      </w:divBdr>
    </w:div>
    <w:div w:id="1175606825">
      <w:bodyDiv w:val="1"/>
      <w:marLeft w:val="0"/>
      <w:marRight w:val="0"/>
      <w:marTop w:val="0"/>
      <w:marBottom w:val="0"/>
      <w:divBdr>
        <w:top w:val="none" w:sz="0" w:space="0" w:color="auto"/>
        <w:left w:val="none" w:sz="0" w:space="0" w:color="auto"/>
        <w:bottom w:val="none" w:sz="0" w:space="0" w:color="auto"/>
        <w:right w:val="none" w:sz="0" w:space="0" w:color="auto"/>
      </w:divBdr>
    </w:div>
    <w:div w:id="1176460044">
      <w:bodyDiv w:val="1"/>
      <w:marLeft w:val="0"/>
      <w:marRight w:val="0"/>
      <w:marTop w:val="0"/>
      <w:marBottom w:val="0"/>
      <w:divBdr>
        <w:top w:val="none" w:sz="0" w:space="0" w:color="auto"/>
        <w:left w:val="none" w:sz="0" w:space="0" w:color="auto"/>
        <w:bottom w:val="none" w:sz="0" w:space="0" w:color="auto"/>
        <w:right w:val="none" w:sz="0" w:space="0" w:color="auto"/>
      </w:divBdr>
    </w:div>
    <w:div w:id="1367634375">
      <w:bodyDiv w:val="1"/>
      <w:marLeft w:val="0"/>
      <w:marRight w:val="0"/>
      <w:marTop w:val="0"/>
      <w:marBottom w:val="0"/>
      <w:divBdr>
        <w:top w:val="none" w:sz="0" w:space="0" w:color="auto"/>
        <w:left w:val="none" w:sz="0" w:space="0" w:color="auto"/>
        <w:bottom w:val="none" w:sz="0" w:space="0" w:color="auto"/>
        <w:right w:val="none" w:sz="0" w:space="0" w:color="auto"/>
      </w:divBdr>
    </w:div>
    <w:div w:id="1397627768">
      <w:bodyDiv w:val="1"/>
      <w:marLeft w:val="0"/>
      <w:marRight w:val="0"/>
      <w:marTop w:val="0"/>
      <w:marBottom w:val="0"/>
      <w:divBdr>
        <w:top w:val="none" w:sz="0" w:space="0" w:color="auto"/>
        <w:left w:val="none" w:sz="0" w:space="0" w:color="auto"/>
        <w:bottom w:val="none" w:sz="0" w:space="0" w:color="auto"/>
        <w:right w:val="none" w:sz="0" w:space="0" w:color="auto"/>
      </w:divBdr>
    </w:div>
    <w:div w:id="1461800559">
      <w:bodyDiv w:val="1"/>
      <w:marLeft w:val="0"/>
      <w:marRight w:val="0"/>
      <w:marTop w:val="0"/>
      <w:marBottom w:val="0"/>
      <w:divBdr>
        <w:top w:val="none" w:sz="0" w:space="0" w:color="auto"/>
        <w:left w:val="none" w:sz="0" w:space="0" w:color="auto"/>
        <w:bottom w:val="none" w:sz="0" w:space="0" w:color="auto"/>
        <w:right w:val="none" w:sz="0" w:space="0" w:color="auto"/>
      </w:divBdr>
    </w:div>
    <w:div w:id="1487622457">
      <w:bodyDiv w:val="1"/>
      <w:marLeft w:val="0"/>
      <w:marRight w:val="0"/>
      <w:marTop w:val="0"/>
      <w:marBottom w:val="0"/>
      <w:divBdr>
        <w:top w:val="none" w:sz="0" w:space="0" w:color="auto"/>
        <w:left w:val="none" w:sz="0" w:space="0" w:color="auto"/>
        <w:bottom w:val="none" w:sz="0" w:space="0" w:color="auto"/>
        <w:right w:val="none" w:sz="0" w:space="0" w:color="auto"/>
      </w:divBdr>
    </w:div>
    <w:div w:id="1735935240">
      <w:bodyDiv w:val="1"/>
      <w:marLeft w:val="0"/>
      <w:marRight w:val="0"/>
      <w:marTop w:val="0"/>
      <w:marBottom w:val="0"/>
      <w:divBdr>
        <w:top w:val="none" w:sz="0" w:space="0" w:color="auto"/>
        <w:left w:val="none" w:sz="0" w:space="0" w:color="auto"/>
        <w:bottom w:val="none" w:sz="0" w:space="0" w:color="auto"/>
        <w:right w:val="none" w:sz="0" w:space="0" w:color="auto"/>
      </w:divBdr>
    </w:div>
    <w:div w:id="1990473429">
      <w:bodyDiv w:val="1"/>
      <w:marLeft w:val="0"/>
      <w:marRight w:val="0"/>
      <w:marTop w:val="0"/>
      <w:marBottom w:val="0"/>
      <w:divBdr>
        <w:top w:val="none" w:sz="0" w:space="0" w:color="auto"/>
        <w:left w:val="none" w:sz="0" w:space="0" w:color="auto"/>
        <w:bottom w:val="none" w:sz="0" w:space="0" w:color="auto"/>
        <w:right w:val="none" w:sz="0" w:space="0" w:color="auto"/>
      </w:divBdr>
    </w:div>
    <w:div w:id="1993289561">
      <w:bodyDiv w:val="1"/>
      <w:marLeft w:val="0"/>
      <w:marRight w:val="0"/>
      <w:marTop w:val="0"/>
      <w:marBottom w:val="0"/>
      <w:divBdr>
        <w:top w:val="none" w:sz="0" w:space="0" w:color="auto"/>
        <w:left w:val="none" w:sz="0" w:space="0" w:color="auto"/>
        <w:bottom w:val="none" w:sz="0" w:space="0" w:color="auto"/>
        <w:right w:val="none" w:sz="0" w:space="0" w:color="auto"/>
      </w:divBdr>
    </w:div>
    <w:div w:id="2070885787">
      <w:bodyDiv w:val="1"/>
      <w:marLeft w:val="0"/>
      <w:marRight w:val="0"/>
      <w:marTop w:val="0"/>
      <w:marBottom w:val="0"/>
      <w:divBdr>
        <w:top w:val="none" w:sz="0" w:space="0" w:color="auto"/>
        <w:left w:val="none" w:sz="0" w:space="0" w:color="auto"/>
        <w:bottom w:val="none" w:sz="0" w:space="0" w:color="auto"/>
        <w:right w:val="none" w:sz="0" w:space="0" w:color="auto"/>
      </w:divBdr>
    </w:div>
    <w:div w:id="21024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7755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Verwaltungsverband Langenau</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Hermann, VVL</dc:creator>
  <cp:keywords/>
  <dc:description/>
  <cp:lastModifiedBy>Schmid, Hermann, VVL</cp:lastModifiedBy>
  <cp:revision>5</cp:revision>
  <cp:lastPrinted>2021-03-17T15:05:00Z</cp:lastPrinted>
  <dcterms:created xsi:type="dcterms:W3CDTF">2021-03-17T07:37:00Z</dcterms:created>
  <dcterms:modified xsi:type="dcterms:W3CDTF">2021-03-17T15:19:00Z</dcterms:modified>
</cp:coreProperties>
</file>